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165" w:rsidRPr="00F91EFB" w:rsidRDefault="00E15165" w:rsidP="001002E5">
      <w:pPr>
        <w:pStyle w:val="IntenseQuote"/>
        <w:ind w:left="0" w:right="0"/>
        <w:rPr>
          <w:noProof/>
          <w:lang w:eastAsia="en-GB"/>
        </w:rPr>
      </w:pPr>
      <w:r>
        <w:rPr>
          <w:noProof/>
          <w:lang w:eastAsia="en-GB"/>
        </w:rPr>
        <w:drawing>
          <wp:inline distT="0" distB="0" distL="0" distR="0" wp14:anchorId="431E234C" wp14:editId="09BC360A">
            <wp:extent cx="2892637" cy="901601"/>
            <wp:effectExtent l="0" t="0" r="3175" b="0"/>
            <wp:docPr id="26" name="Picture 26" descr="U:\HSS\EDUC\Learning for Sustainability Scotland\1. LfS Scotland\Representation\TEESNet\Event March 2016\TEES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HSS\EDUC\Learning for Sustainability Scotland\1. LfS Scotland\Representation\TEESNet\Event March 2016\TEESNe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012" cy="914185"/>
                    </a:xfrm>
                    <a:prstGeom prst="rect">
                      <a:avLst/>
                    </a:prstGeom>
                    <a:noFill/>
                    <a:ln>
                      <a:noFill/>
                    </a:ln>
                  </pic:spPr>
                </pic:pic>
              </a:graphicData>
            </a:graphic>
          </wp:inline>
        </w:drawing>
      </w:r>
      <w:r w:rsidRPr="00E15165">
        <w:rPr>
          <w:noProof/>
          <w:lang w:eastAsia="en-GB"/>
        </w:rPr>
        <w:t xml:space="preserve"> </w:t>
      </w:r>
      <w:r>
        <w:rPr>
          <w:noProof/>
          <w:lang w:eastAsia="en-GB"/>
        </w:rPr>
        <w:drawing>
          <wp:inline distT="0" distB="0" distL="0" distR="0" wp14:anchorId="29A61FD9" wp14:editId="12770A38">
            <wp:extent cx="1528582" cy="914115"/>
            <wp:effectExtent l="0" t="0" r="0" b="635"/>
            <wp:docPr id="27" name="Picture 27" descr="U:\HSS\EDUC\Learning for Sustainability Scotland\1. LfS Scotland\Communications\Logos and layouts\Logo\LfSS with RCE logos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HSS\EDUC\Learning for Sustainability Scotland\1. LfS Scotland\Communications\Logos and layouts\Logo\LfSS with RCE logos fin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9742" cy="938729"/>
                    </a:xfrm>
                    <a:prstGeom prst="rect">
                      <a:avLst/>
                    </a:prstGeom>
                    <a:noFill/>
                    <a:ln>
                      <a:noFill/>
                    </a:ln>
                  </pic:spPr>
                </pic:pic>
              </a:graphicData>
            </a:graphic>
          </wp:inline>
        </w:drawing>
      </w:r>
      <w:r w:rsidR="00F91EFB">
        <w:rPr>
          <w:noProof/>
          <w:lang w:eastAsia="en-GB"/>
        </w:rPr>
        <w:drawing>
          <wp:inline distT="0" distB="0" distL="0" distR="0">
            <wp:extent cx="1167675" cy="900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tcs_logo.jpg"/>
                    <pic:cNvPicPr/>
                  </pic:nvPicPr>
                  <pic:blipFill>
                    <a:blip r:embed="rId11">
                      <a:extLst>
                        <a:ext uri="{28A0092B-C50C-407E-A947-70E740481C1C}">
                          <a14:useLocalDpi xmlns:a14="http://schemas.microsoft.com/office/drawing/2010/main" val="0"/>
                        </a:ext>
                      </a:extLst>
                    </a:blip>
                    <a:stretch>
                      <a:fillRect/>
                    </a:stretch>
                  </pic:blipFill>
                  <pic:spPr>
                    <a:xfrm>
                      <a:off x="0" y="0"/>
                      <a:ext cx="1258959" cy="970822"/>
                    </a:xfrm>
                    <a:prstGeom prst="rect">
                      <a:avLst/>
                    </a:prstGeom>
                  </pic:spPr>
                </pic:pic>
              </a:graphicData>
            </a:graphic>
          </wp:inline>
        </w:drawing>
      </w:r>
    </w:p>
    <w:p w:rsidR="00F91EFB" w:rsidRDefault="00F91EFB" w:rsidP="00F91EFB">
      <w:pPr>
        <w:pStyle w:val="IntenseQuote"/>
        <w:ind w:left="0" w:right="0"/>
        <w:rPr>
          <w:i w:val="0"/>
          <w:color w:val="009999"/>
          <w:sz w:val="36"/>
          <w:szCs w:val="36"/>
        </w:rPr>
      </w:pPr>
      <w:bookmarkStart w:id="0" w:name="_GoBack"/>
      <w:r w:rsidRPr="00F91EFB">
        <w:rPr>
          <w:bCs w:val="0"/>
          <w:i w:val="0"/>
          <w:color w:val="009999"/>
          <w:sz w:val="36"/>
          <w:szCs w:val="36"/>
        </w:rPr>
        <w:t>Meeting the UN’s Sustainable Development Goals in Initial Teacher Education in the UK: Progress and Opportunities</w:t>
      </w:r>
      <w:r w:rsidR="00FB7393" w:rsidRPr="00F91EFB">
        <w:rPr>
          <w:i w:val="0"/>
          <w:color w:val="009999"/>
          <w:sz w:val="36"/>
          <w:szCs w:val="36"/>
        </w:rPr>
        <w:t xml:space="preserve"> </w:t>
      </w:r>
    </w:p>
    <w:bookmarkEnd w:id="0"/>
    <w:p w:rsidR="00683165" w:rsidRPr="00365996" w:rsidRDefault="00683165" w:rsidP="00683165">
      <w:pPr>
        <w:rPr>
          <w:rFonts w:asciiTheme="minorHAnsi" w:eastAsia="Calibri" w:hAnsiTheme="minorHAnsi" w:cs="Calibri"/>
          <w:b/>
          <w:sz w:val="28"/>
          <w:szCs w:val="28"/>
        </w:rPr>
      </w:pPr>
      <w:r w:rsidRPr="00365996">
        <w:rPr>
          <w:rFonts w:asciiTheme="minorHAnsi" w:hAnsiTheme="minorHAnsi"/>
          <w:b/>
          <w:sz w:val="28"/>
          <w:szCs w:val="28"/>
        </w:rPr>
        <w:t xml:space="preserve">Report of a seminar held on </w:t>
      </w:r>
      <w:r w:rsidRPr="00365996">
        <w:rPr>
          <w:rFonts w:asciiTheme="minorHAnsi" w:eastAsia="Calibri" w:hAnsiTheme="minorHAnsi" w:cs="Calibri"/>
          <w:b/>
          <w:sz w:val="28"/>
          <w:szCs w:val="28"/>
        </w:rPr>
        <w:t>Friday 10 March 2017 in Moray House School of Education, University of Edinburgh</w:t>
      </w:r>
    </w:p>
    <w:p w:rsidR="00683165" w:rsidRPr="00683165" w:rsidRDefault="00683165" w:rsidP="00683165">
      <w:pPr>
        <w:rPr>
          <w:rFonts w:asciiTheme="minorHAnsi" w:hAnsiTheme="minorHAnsi"/>
          <w:b/>
        </w:rPr>
      </w:pPr>
      <w:r>
        <w:rPr>
          <w:rFonts w:asciiTheme="minorHAnsi" w:eastAsia="Calibri" w:hAnsiTheme="minorHAnsi" w:cs="Calibri"/>
          <w:b/>
        </w:rPr>
        <w:t>1.</w:t>
      </w:r>
      <w:r w:rsidRPr="00683165">
        <w:rPr>
          <w:rFonts w:asciiTheme="minorHAnsi" w:eastAsia="Calibri" w:hAnsiTheme="minorHAnsi" w:cs="Calibri"/>
          <w:b/>
        </w:rPr>
        <w:t>Background</w:t>
      </w:r>
    </w:p>
    <w:p w:rsidR="00F91EFB" w:rsidRPr="00F91EFB" w:rsidRDefault="00F91EFB" w:rsidP="00F91EFB">
      <w:pPr>
        <w:rPr>
          <w:rFonts w:asciiTheme="minorHAnsi" w:hAnsiTheme="minorHAnsi"/>
          <w:color w:val="000000"/>
        </w:rPr>
      </w:pPr>
      <w:r w:rsidRPr="00F91EFB">
        <w:rPr>
          <w:rFonts w:asciiTheme="minorHAnsi" w:hAnsiTheme="minorHAnsi"/>
          <w:color w:val="333333"/>
          <w:lang w:eastAsia="en-GB"/>
        </w:rPr>
        <w:t xml:space="preserve">In September 2015, 193 countries across the world, including the UK, agreed the UN’s </w:t>
      </w:r>
      <w:hyperlink r:id="rId12" w:history="1">
        <w:r w:rsidRPr="00F91EFB">
          <w:rPr>
            <w:rStyle w:val="Hyperlink"/>
            <w:rFonts w:asciiTheme="minorHAnsi" w:hAnsiTheme="minorHAnsi"/>
            <w:lang w:eastAsia="en-GB"/>
          </w:rPr>
          <w:t>Sustainable Development Goals</w:t>
        </w:r>
      </w:hyperlink>
      <w:r w:rsidRPr="00F91EFB">
        <w:rPr>
          <w:rFonts w:asciiTheme="minorHAnsi" w:hAnsiTheme="minorHAnsi"/>
          <w:color w:val="333333"/>
          <w:lang w:eastAsia="en-GB"/>
        </w:rPr>
        <w:t>.  They set a challenge for every country to tackle poverty, inequality, climate change and sustainable development with Education, and learning as a central component.</w:t>
      </w:r>
      <w:r w:rsidRPr="00F91EFB">
        <w:rPr>
          <w:rFonts w:asciiTheme="minorHAnsi" w:hAnsiTheme="minorHAnsi"/>
        </w:rPr>
        <w:t xml:space="preserve"> </w:t>
      </w:r>
      <w:r w:rsidRPr="00F91EFB">
        <w:rPr>
          <w:rStyle w:val="Strong"/>
          <w:rFonts w:asciiTheme="minorHAnsi" w:hAnsiTheme="minorHAnsi" w:cs="Helvetica"/>
          <w:color w:val="202020"/>
        </w:rPr>
        <w:t>SDG 4</w:t>
      </w:r>
      <w:r w:rsidRPr="00F91EFB">
        <w:rPr>
          <w:rFonts w:asciiTheme="minorHAnsi" w:hAnsiTheme="minorHAnsi"/>
          <w:color w:val="202020"/>
        </w:rPr>
        <w:t> is specifically about education through all aspects of life, and</w:t>
      </w:r>
      <w:r w:rsidRPr="00F91EFB">
        <w:rPr>
          <w:rFonts w:asciiTheme="minorHAnsi" w:hAnsiTheme="minorHAnsi"/>
          <w:color w:val="000000"/>
        </w:rPr>
        <w:t xml:space="preserve"> target 4.7 relates to teacher education.</w:t>
      </w:r>
    </w:p>
    <w:p w:rsidR="00F91EFB" w:rsidRPr="00F91EFB" w:rsidRDefault="00F91EFB" w:rsidP="00F91EFB">
      <w:pPr>
        <w:rPr>
          <w:rFonts w:asciiTheme="minorHAnsi" w:hAnsiTheme="minorHAnsi"/>
          <w:color w:val="000000"/>
        </w:rPr>
      </w:pPr>
      <w:r w:rsidRPr="00F91EFB">
        <w:rPr>
          <w:rFonts w:asciiTheme="minorHAnsi" w:hAnsiTheme="minorHAnsi"/>
          <w:color w:val="000000"/>
        </w:rPr>
        <w:t xml:space="preserve">In this context the purpose of the seminar, </w:t>
      </w:r>
      <w:r w:rsidR="00683165">
        <w:rPr>
          <w:rFonts w:asciiTheme="minorHAnsi" w:hAnsiTheme="minorHAnsi"/>
          <w:color w:val="000000"/>
        </w:rPr>
        <w:t>was</w:t>
      </w:r>
      <w:r w:rsidRPr="00F91EFB">
        <w:rPr>
          <w:rFonts w:asciiTheme="minorHAnsi" w:hAnsiTheme="minorHAnsi"/>
          <w:color w:val="000000"/>
        </w:rPr>
        <w:t xml:space="preserve"> for key teacher educators in UK ITE institutions to:</w:t>
      </w:r>
    </w:p>
    <w:p w:rsidR="00F91EFB" w:rsidRPr="00F91EFB" w:rsidRDefault="00F91EFB" w:rsidP="00F91EFB">
      <w:pPr>
        <w:numPr>
          <w:ilvl w:val="0"/>
          <w:numId w:val="1"/>
        </w:numPr>
        <w:contextualSpacing/>
        <w:rPr>
          <w:rFonts w:asciiTheme="minorHAnsi" w:hAnsiTheme="minorHAnsi" w:cs="Calibri"/>
        </w:rPr>
      </w:pPr>
      <w:r w:rsidRPr="00F91EFB">
        <w:rPr>
          <w:rFonts w:asciiTheme="minorHAnsi" w:hAnsiTheme="minorHAnsi" w:cs="Calibri"/>
        </w:rPr>
        <w:t xml:space="preserve">Share progress on Education for Sustainable Development and Global Citizenship( ESD/GC)  in </w:t>
      </w:r>
      <w:r w:rsidR="00164411">
        <w:rPr>
          <w:rFonts w:asciiTheme="minorHAnsi" w:hAnsiTheme="minorHAnsi" w:cs="Calibri"/>
        </w:rPr>
        <w:t>Initial teacher education (</w:t>
      </w:r>
      <w:r w:rsidRPr="00F91EFB">
        <w:rPr>
          <w:rFonts w:asciiTheme="minorHAnsi" w:hAnsiTheme="minorHAnsi" w:cs="Calibri"/>
        </w:rPr>
        <w:t>ITE</w:t>
      </w:r>
      <w:r w:rsidR="00164411">
        <w:rPr>
          <w:rFonts w:asciiTheme="minorHAnsi" w:hAnsiTheme="minorHAnsi" w:cs="Calibri"/>
        </w:rPr>
        <w:t>)</w:t>
      </w:r>
      <w:r w:rsidRPr="00F91EFB">
        <w:rPr>
          <w:rFonts w:asciiTheme="minorHAnsi" w:hAnsiTheme="minorHAnsi" w:cs="Calibri"/>
        </w:rPr>
        <w:t xml:space="preserve"> in Scotland, Wales, Ireland and England</w:t>
      </w:r>
    </w:p>
    <w:p w:rsidR="00F91EFB" w:rsidRPr="00F91EFB" w:rsidRDefault="00F91EFB" w:rsidP="00F91EFB">
      <w:pPr>
        <w:numPr>
          <w:ilvl w:val="0"/>
          <w:numId w:val="1"/>
        </w:numPr>
        <w:contextualSpacing/>
        <w:rPr>
          <w:rFonts w:asciiTheme="minorHAnsi" w:hAnsiTheme="minorHAnsi" w:cs="Calibri"/>
        </w:rPr>
      </w:pPr>
      <w:r w:rsidRPr="00F91EFB">
        <w:rPr>
          <w:rFonts w:asciiTheme="minorHAnsi" w:hAnsiTheme="minorHAnsi" w:cs="Calibri"/>
        </w:rPr>
        <w:t xml:space="preserve">Connect  with  ITE practitioners  across UK and identify synergies </w:t>
      </w:r>
    </w:p>
    <w:p w:rsidR="00F91EFB" w:rsidRPr="00683165" w:rsidRDefault="00F91EFB" w:rsidP="00F91EFB">
      <w:pPr>
        <w:numPr>
          <w:ilvl w:val="0"/>
          <w:numId w:val="1"/>
        </w:numPr>
        <w:spacing w:before="0" w:after="200" w:line="276" w:lineRule="auto"/>
        <w:contextualSpacing/>
        <w:rPr>
          <w:rFonts w:asciiTheme="minorHAnsi" w:hAnsiTheme="minorHAnsi"/>
          <w:color w:val="000000"/>
        </w:rPr>
      </w:pPr>
      <w:r w:rsidRPr="00F91EFB">
        <w:rPr>
          <w:rFonts w:asciiTheme="minorHAnsi" w:hAnsiTheme="minorHAnsi" w:cs="Calibri"/>
        </w:rPr>
        <w:t>Identify opportunities for possible future advocacy and research collaboration</w:t>
      </w:r>
    </w:p>
    <w:p w:rsidR="00683165" w:rsidRDefault="00683165" w:rsidP="00AF0F2E">
      <w:pPr>
        <w:spacing w:before="0" w:after="200" w:line="276" w:lineRule="auto"/>
        <w:contextualSpacing/>
        <w:rPr>
          <w:rFonts w:asciiTheme="minorHAnsi" w:hAnsiTheme="minorHAnsi"/>
          <w:color w:val="000000"/>
        </w:rPr>
      </w:pPr>
    </w:p>
    <w:p w:rsidR="00AF0F2E" w:rsidRDefault="00AF0F2E" w:rsidP="00AF0F2E">
      <w:pPr>
        <w:spacing w:before="0" w:after="200" w:line="276" w:lineRule="auto"/>
        <w:contextualSpacing/>
        <w:rPr>
          <w:rFonts w:asciiTheme="minorHAnsi" w:hAnsiTheme="minorHAnsi"/>
          <w:color w:val="000000"/>
        </w:rPr>
      </w:pPr>
      <w:r>
        <w:rPr>
          <w:rFonts w:asciiTheme="minorHAnsi" w:hAnsiTheme="minorHAnsi"/>
          <w:color w:val="000000"/>
        </w:rPr>
        <w:t>Andrea Bullivant, Director of</w:t>
      </w:r>
      <w:r w:rsidR="0008413C">
        <w:rPr>
          <w:rFonts w:asciiTheme="minorHAnsi" w:hAnsiTheme="minorHAnsi"/>
          <w:color w:val="000000"/>
        </w:rPr>
        <w:t xml:space="preserve"> </w:t>
      </w:r>
      <w:hyperlink r:id="rId13" w:history="1">
        <w:r w:rsidR="0008413C" w:rsidRPr="0008413C">
          <w:rPr>
            <w:rStyle w:val="Hyperlink"/>
            <w:rFonts w:asciiTheme="minorHAnsi" w:hAnsiTheme="minorHAnsi"/>
          </w:rPr>
          <w:t>Teacher Education for Equity and Sustainability Network</w:t>
        </w:r>
      </w:hyperlink>
      <w:r w:rsidR="0008413C">
        <w:rPr>
          <w:rFonts w:asciiTheme="minorHAnsi" w:hAnsiTheme="minorHAnsi"/>
          <w:color w:val="000000"/>
        </w:rPr>
        <w:t xml:space="preserve"> (TEESNet) </w:t>
      </w:r>
      <w:r>
        <w:rPr>
          <w:rFonts w:asciiTheme="minorHAnsi" w:hAnsiTheme="minorHAnsi"/>
          <w:color w:val="000000"/>
        </w:rPr>
        <w:t>and Betsy King, Development Manager of</w:t>
      </w:r>
      <w:r w:rsidR="001D4239">
        <w:rPr>
          <w:rFonts w:asciiTheme="minorHAnsi" w:hAnsiTheme="minorHAnsi"/>
          <w:color w:val="000000"/>
        </w:rPr>
        <w:t xml:space="preserve"> Scotland’s UN Regional Centre of Expertise in ESD</w:t>
      </w:r>
      <w:r>
        <w:rPr>
          <w:rFonts w:asciiTheme="minorHAnsi" w:hAnsiTheme="minorHAnsi"/>
          <w:color w:val="000000"/>
        </w:rPr>
        <w:t xml:space="preserve"> </w:t>
      </w:r>
      <w:hyperlink r:id="rId14" w:history="1">
        <w:r w:rsidR="0008413C" w:rsidRPr="0008413C">
          <w:rPr>
            <w:rStyle w:val="Hyperlink"/>
            <w:rFonts w:asciiTheme="minorHAnsi" w:hAnsiTheme="minorHAnsi"/>
          </w:rPr>
          <w:t>Learning for Sustainability Scotland</w:t>
        </w:r>
      </w:hyperlink>
      <w:r w:rsidR="0008413C">
        <w:rPr>
          <w:rFonts w:asciiTheme="minorHAnsi" w:hAnsiTheme="minorHAnsi"/>
          <w:color w:val="000000"/>
        </w:rPr>
        <w:t xml:space="preserve"> welcomed </w:t>
      </w:r>
      <w:r w:rsidR="001D4239">
        <w:rPr>
          <w:rFonts w:asciiTheme="minorHAnsi" w:hAnsiTheme="minorHAnsi"/>
          <w:color w:val="000000"/>
        </w:rPr>
        <w:t>participants from across the UK</w:t>
      </w:r>
      <w:r w:rsidR="00F500C7">
        <w:rPr>
          <w:rFonts w:asciiTheme="minorHAnsi" w:hAnsiTheme="minorHAnsi"/>
          <w:color w:val="000000"/>
        </w:rPr>
        <w:t xml:space="preserve"> (Appendix 2)</w:t>
      </w:r>
      <w:r w:rsidR="001D4239">
        <w:rPr>
          <w:rFonts w:asciiTheme="minorHAnsi" w:hAnsiTheme="minorHAnsi"/>
          <w:color w:val="000000"/>
        </w:rPr>
        <w:t xml:space="preserve">. The seminar </w:t>
      </w:r>
      <w:r w:rsidR="00F500C7">
        <w:rPr>
          <w:rFonts w:asciiTheme="minorHAnsi" w:hAnsiTheme="minorHAnsi"/>
          <w:color w:val="000000"/>
        </w:rPr>
        <w:t xml:space="preserve">was an opportunity to progress discussions at </w:t>
      </w:r>
      <w:r w:rsidR="001D4239">
        <w:rPr>
          <w:rFonts w:asciiTheme="minorHAnsi" w:hAnsiTheme="minorHAnsi"/>
          <w:color w:val="000000"/>
        </w:rPr>
        <w:t xml:space="preserve">TEESNet’s 2016 conference </w:t>
      </w:r>
      <w:hyperlink r:id="rId15" w:history="1">
        <w:r w:rsidR="001D4239" w:rsidRPr="001D4239">
          <w:rPr>
            <w:rStyle w:val="Hyperlink"/>
            <w:rFonts w:asciiTheme="minorHAnsi" w:hAnsiTheme="minorHAnsi"/>
          </w:rPr>
          <w:t>‘Measuring what’s Valuable or Valuing what’s measurable</w:t>
        </w:r>
      </w:hyperlink>
      <w:r w:rsidR="001D4239">
        <w:rPr>
          <w:rFonts w:asciiTheme="minorHAnsi" w:hAnsiTheme="minorHAnsi"/>
          <w:color w:val="000000"/>
        </w:rPr>
        <w:t xml:space="preserve">? </w:t>
      </w:r>
      <w:r w:rsidR="00271187">
        <w:rPr>
          <w:rFonts w:asciiTheme="minorHAnsi" w:hAnsiTheme="minorHAnsi"/>
          <w:color w:val="000000"/>
        </w:rPr>
        <w:t>a</w:t>
      </w:r>
      <w:r w:rsidR="001D4239">
        <w:rPr>
          <w:rFonts w:asciiTheme="minorHAnsi" w:hAnsiTheme="minorHAnsi"/>
          <w:color w:val="000000"/>
        </w:rPr>
        <w:t xml:space="preserve">nd </w:t>
      </w:r>
      <w:r w:rsidR="00F500C7">
        <w:rPr>
          <w:rFonts w:asciiTheme="minorHAnsi" w:hAnsiTheme="minorHAnsi"/>
          <w:color w:val="000000"/>
        </w:rPr>
        <w:t xml:space="preserve">consider </w:t>
      </w:r>
      <w:r w:rsidR="001D4239">
        <w:rPr>
          <w:rFonts w:asciiTheme="minorHAnsi" w:hAnsiTheme="minorHAnsi"/>
          <w:color w:val="000000"/>
        </w:rPr>
        <w:t xml:space="preserve">the </w:t>
      </w:r>
      <w:hyperlink r:id="rId16" w:history="1">
        <w:r w:rsidR="001D4239">
          <w:rPr>
            <w:rStyle w:val="Hyperlink"/>
            <w:rFonts w:asciiTheme="minorHAnsi" w:hAnsiTheme="minorHAnsi"/>
          </w:rPr>
          <w:t>General T</w:t>
        </w:r>
        <w:r w:rsidR="001D4239" w:rsidRPr="001D4239">
          <w:rPr>
            <w:rStyle w:val="Hyperlink"/>
            <w:rFonts w:asciiTheme="minorHAnsi" w:hAnsiTheme="minorHAnsi"/>
          </w:rPr>
          <w:t>eaching Council for Scotland</w:t>
        </w:r>
      </w:hyperlink>
      <w:r w:rsidR="001D4239">
        <w:rPr>
          <w:rFonts w:asciiTheme="minorHAnsi" w:hAnsiTheme="minorHAnsi"/>
          <w:color w:val="000000"/>
        </w:rPr>
        <w:t xml:space="preserve"> </w:t>
      </w:r>
      <w:r w:rsidR="00F500C7">
        <w:rPr>
          <w:rFonts w:asciiTheme="minorHAnsi" w:hAnsiTheme="minorHAnsi"/>
          <w:color w:val="000000"/>
        </w:rPr>
        <w:t xml:space="preserve">work with ITE institutions in Scotland and Learning for Sustainability Scotland. </w:t>
      </w:r>
      <w:r w:rsidR="001D4239">
        <w:rPr>
          <w:rFonts w:asciiTheme="minorHAnsi" w:hAnsiTheme="minorHAnsi"/>
          <w:color w:val="000000"/>
        </w:rPr>
        <w:t xml:space="preserve">. </w:t>
      </w:r>
    </w:p>
    <w:p w:rsidR="007E7761" w:rsidRPr="00683165" w:rsidRDefault="007E7761" w:rsidP="00AF0F2E">
      <w:pPr>
        <w:spacing w:before="0" w:after="200" w:line="276" w:lineRule="auto"/>
        <w:contextualSpacing/>
        <w:rPr>
          <w:rFonts w:asciiTheme="minorHAnsi" w:hAnsiTheme="minorHAnsi"/>
          <w:color w:val="000000"/>
        </w:rPr>
      </w:pPr>
    </w:p>
    <w:p w:rsidR="000E3E0C" w:rsidRDefault="000E3E0C">
      <w:pPr>
        <w:spacing w:before="0" w:after="160" w:line="259" w:lineRule="auto"/>
        <w:rPr>
          <w:rFonts w:asciiTheme="minorHAnsi" w:hAnsiTheme="minorHAnsi" w:cs="Calibri"/>
        </w:rPr>
      </w:pPr>
      <w:r>
        <w:rPr>
          <w:rFonts w:asciiTheme="minorHAnsi" w:hAnsiTheme="minorHAnsi" w:cs="Calibri"/>
        </w:rPr>
        <w:t xml:space="preserve">2. </w:t>
      </w:r>
      <w:r w:rsidRPr="00F91EFB">
        <w:rPr>
          <w:rFonts w:asciiTheme="minorHAnsi" w:hAnsiTheme="minorHAnsi"/>
          <w:b/>
        </w:rPr>
        <w:t>The Global and local Context for ESD and GC in ITE</w:t>
      </w:r>
      <w:r>
        <w:rPr>
          <w:rFonts w:asciiTheme="minorHAnsi" w:hAnsiTheme="minorHAnsi" w:cs="Calibri"/>
        </w:rPr>
        <w:t xml:space="preserve"> </w:t>
      </w:r>
    </w:p>
    <w:p w:rsidR="00AF0F2E" w:rsidRDefault="000E3E0C" w:rsidP="000E3E0C">
      <w:pPr>
        <w:spacing w:before="0"/>
        <w:rPr>
          <w:rFonts w:asciiTheme="minorHAnsi" w:hAnsiTheme="minorHAnsi"/>
          <w:color w:val="FF0000"/>
        </w:rPr>
      </w:pPr>
      <w:r>
        <w:rPr>
          <w:rFonts w:asciiTheme="minorHAnsi" w:hAnsiTheme="minorHAnsi"/>
        </w:rPr>
        <w:t>Professor</w:t>
      </w:r>
      <w:r w:rsidRPr="00F91EFB">
        <w:rPr>
          <w:rFonts w:asciiTheme="minorHAnsi" w:hAnsiTheme="minorHAnsi"/>
        </w:rPr>
        <w:t xml:space="preserve"> Pete Higgins, University of Edinburgh and Scotland’s representative on the </w:t>
      </w:r>
      <w:hyperlink r:id="rId17" w:history="1">
        <w:r w:rsidRPr="00365996">
          <w:rPr>
            <w:rStyle w:val="Hyperlink"/>
            <w:rFonts w:asciiTheme="minorHAnsi" w:hAnsiTheme="minorHAnsi"/>
          </w:rPr>
          <w:t>UNESCO Re-orientating Teacher Education towards Sustainable Development Network</w:t>
        </w:r>
      </w:hyperlink>
      <w:r>
        <w:rPr>
          <w:rFonts w:asciiTheme="minorHAnsi" w:hAnsiTheme="minorHAnsi"/>
        </w:rPr>
        <w:t xml:space="preserve"> set out the past and current global and Scottish context for Education for Sustainable Development and Global Citizenship</w:t>
      </w:r>
      <w:r w:rsidR="0008413C">
        <w:rPr>
          <w:rFonts w:asciiTheme="minorHAnsi" w:hAnsiTheme="minorHAnsi"/>
        </w:rPr>
        <w:t xml:space="preserve"> (ESD/GC)</w:t>
      </w:r>
      <w:r>
        <w:rPr>
          <w:rFonts w:asciiTheme="minorHAnsi" w:hAnsiTheme="minorHAnsi"/>
        </w:rPr>
        <w:t xml:space="preserve"> in Initial Teacher Education</w:t>
      </w:r>
      <w:r w:rsidR="0008413C">
        <w:rPr>
          <w:rFonts w:asciiTheme="minorHAnsi" w:hAnsiTheme="minorHAnsi"/>
        </w:rPr>
        <w:t xml:space="preserve"> (ITE) </w:t>
      </w:r>
      <w:r w:rsidR="00AF0F2E" w:rsidRPr="00AF0F2E">
        <w:rPr>
          <w:rFonts w:asciiTheme="minorHAnsi" w:hAnsiTheme="minorHAnsi"/>
          <w:color w:val="FF0000"/>
        </w:rPr>
        <w:t>here</w:t>
      </w:r>
      <w:r w:rsidR="00AF0F2E">
        <w:rPr>
          <w:rFonts w:asciiTheme="minorHAnsi" w:hAnsiTheme="minorHAnsi"/>
          <w:color w:val="FF0000"/>
        </w:rPr>
        <w:t xml:space="preserve">. </w:t>
      </w:r>
    </w:p>
    <w:p w:rsidR="007E7761" w:rsidRDefault="007E7761" w:rsidP="000E3E0C">
      <w:pPr>
        <w:spacing w:before="0"/>
        <w:rPr>
          <w:rFonts w:asciiTheme="minorHAnsi" w:hAnsiTheme="minorHAnsi"/>
          <w:color w:val="FF0000"/>
        </w:rPr>
      </w:pPr>
    </w:p>
    <w:p w:rsidR="0008413C" w:rsidRPr="0008413C" w:rsidRDefault="00365996" w:rsidP="000E3E0C">
      <w:pPr>
        <w:spacing w:before="0"/>
        <w:rPr>
          <w:rFonts w:asciiTheme="minorHAnsi" w:hAnsiTheme="minorHAnsi"/>
        </w:rPr>
      </w:pPr>
      <w:r>
        <w:rPr>
          <w:rFonts w:asciiTheme="minorHAnsi" w:hAnsiTheme="minorHAnsi"/>
        </w:rPr>
        <w:t>Following d</w:t>
      </w:r>
      <w:r w:rsidR="0008413C">
        <w:rPr>
          <w:rFonts w:asciiTheme="minorHAnsi" w:hAnsiTheme="minorHAnsi"/>
        </w:rPr>
        <w:t>iscussions focussed on the need to ensure that the underpinning values of ESD/GC were at the core of all I</w:t>
      </w:r>
      <w:r w:rsidR="001D4239">
        <w:rPr>
          <w:rFonts w:asciiTheme="minorHAnsi" w:hAnsiTheme="minorHAnsi"/>
        </w:rPr>
        <w:t>TE courses and programmes</w:t>
      </w:r>
      <w:r w:rsidR="007E7761">
        <w:rPr>
          <w:rFonts w:asciiTheme="minorHAnsi" w:hAnsiTheme="minorHAnsi"/>
        </w:rPr>
        <w:t xml:space="preserve"> , avoiding the integration of ESD/GC being seen as a ‘tick-box’ exercise</w:t>
      </w:r>
      <w:r w:rsidR="001D4239">
        <w:rPr>
          <w:rFonts w:asciiTheme="minorHAnsi" w:hAnsiTheme="minorHAnsi"/>
        </w:rPr>
        <w:t>. This was felt to be the responsibility of all academics, not just for individual champions</w:t>
      </w:r>
      <w:r w:rsidR="007E7761">
        <w:rPr>
          <w:rFonts w:asciiTheme="minorHAnsi" w:hAnsiTheme="minorHAnsi"/>
        </w:rPr>
        <w:t xml:space="preserve"> in institutions. Suggestions for achieving this included: making</w:t>
      </w:r>
      <w:r w:rsidR="001D4239">
        <w:rPr>
          <w:rFonts w:asciiTheme="minorHAnsi" w:hAnsiTheme="minorHAnsi"/>
        </w:rPr>
        <w:t xml:space="preserve"> links to the Research Excellence Framework</w:t>
      </w:r>
      <w:r w:rsidR="007E7761">
        <w:rPr>
          <w:rFonts w:asciiTheme="minorHAnsi" w:hAnsiTheme="minorHAnsi"/>
        </w:rPr>
        <w:t xml:space="preserve">; building on the initiatives of champions in every programme and working across all curriculum areas. </w:t>
      </w:r>
    </w:p>
    <w:p w:rsidR="00746DAF" w:rsidRDefault="00746DAF">
      <w:pPr>
        <w:spacing w:before="0" w:after="160" w:line="259" w:lineRule="auto"/>
        <w:rPr>
          <w:rFonts w:asciiTheme="minorHAnsi" w:hAnsiTheme="minorHAnsi" w:cs="Calibri"/>
          <w:b/>
        </w:rPr>
      </w:pPr>
    </w:p>
    <w:p w:rsidR="00365996" w:rsidRDefault="00365996">
      <w:pPr>
        <w:spacing w:before="0" w:after="160" w:line="259" w:lineRule="auto"/>
        <w:rPr>
          <w:rFonts w:asciiTheme="minorHAnsi" w:hAnsiTheme="minorHAnsi" w:cs="Calibri"/>
          <w:b/>
        </w:rPr>
      </w:pPr>
    </w:p>
    <w:p w:rsidR="00365996" w:rsidRDefault="00365996">
      <w:pPr>
        <w:spacing w:before="0" w:after="160" w:line="259" w:lineRule="auto"/>
        <w:rPr>
          <w:rFonts w:asciiTheme="minorHAnsi" w:hAnsiTheme="minorHAnsi" w:cs="Calibri"/>
          <w:b/>
        </w:rPr>
      </w:pPr>
    </w:p>
    <w:p w:rsidR="00365996" w:rsidRPr="007E7761" w:rsidRDefault="00365996">
      <w:pPr>
        <w:spacing w:before="0" w:after="160" w:line="259" w:lineRule="auto"/>
        <w:rPr>
          <w:rFonts w:asciiTheme="minorHAnsi" w:hAnsiTheme="minorHAnsi" w:cs="Calibri"/>
          <w:b/>
        </w:rPr>
      </w:pPr>
    </w:p>
    <w:p w:rsidR="007E7761" w:rsidRPr="007E7761" w:rsidRDefault="007E7761">
      <w:pPr>
        <w:spacing w:before="0" w:after="160" w:line="259" w:lineRule="auto"/>
        <w:rPr>
          <w:rFonts w:asciiTheme="minorHAnsi" w:hAnsiTheme="minorHAnsi" w:cs="Calibri"/>
          <w:b/>
        </w:rPr>
      </w:pPr>
      <w:r w:rsidRPr="007E7761">
        <w:rPr>
          <w:rFonts w:asciiTheme="minorHAnsi" w:hAnsiTheme="minorHAnsi" w:cs="Calibri"/>
          <w:b/>
        </w:rPr>
        <w:t>3. Sharing Progress on ESD/GC in the UK regions</w:t>
      </w:r>
    </w:p>
    <w:p w:rsidR="00746DAF" w:rsidRPr="00746DAF" w:rsidRDefault="00F47F1D" w:rsidP="00F47F1D">
      <w:pPr>
        <w:pStyle w:val="NormalWeb"/>
        <w:kinsoku w:val="0"/>
        <w:overflowPunct w:val="0"/>
        <w:spacing w:before="0" w:beforeAutospacing="0" w:after="0" w:afterAutospacing="0"/>
        <w:textAlignment w:val="baseline"/>
        <w:rPr>
          <w:rFonts w:asciiTheme="minorHAnsi" w:eastAsia="MS PGothic" w:hAnsiTheme="minorHAnsi" w:cstheme="minorBidi"/>
          <w:color w:val="000000" w:themeColor="text1"/>
          <w:kern w:val="24"/>
          <w:lang w:val="en-US"/>
        </w:rPr>
      </w:pPr>
      <w:r w:rsidRPr="00746DAF">
        <w:rPr>
          <w:rFonts w:asciiTheme="minorHAnsi" w:hAnsiTheme="minorHAnsi" w:cs="Calibri"/>
        </w:rPr>
        <w:t>Andrea Bul</w:t>
      </w:r>
      <w:r w:rsidR="00271187" w:rsidRPr="00746DAF">
        <w:rPr>
          <w:rFonts w:asciiTheme="minorHAnsi" w:hAnsiTheme="minorHAnsi" w:cs="Calibri"/>
        </w:rPr>
        <w:t xml:space="preserve">livant shared the findings of </w:t>
      </w:r>
      <w:r w:rsidR="00746DAF" w:rsidRPr="00746DAF">
        <w:rPr>
          <w:rFonts w:asciiTheme="minorHAnsi" w:hAnsiTheme="minorHAnsi" w:cs="Calibri"/>
        </w:rPr>
        <w:t xml:space="preserve">TEESNet </w:t>
      </w:r>
      <w:r w:rsidR="00271187" w:rsidRPr="00746DAF">
        <w:rPr>
          <w:rFonts w:asciiTheme="minorHAnsi" w:hAnsiTheme="minorHAnsi" w:cs="Calibri"/>
        </w:rPr>
        <w:t xml:space="preserve"> </w:t>
      </w:r>
      <w:r w:rsidRPr="00746DAF">
        <w:rPr>
          <w:rFonts w:asciiTheme="minorHAnsi" w:hAnsiTheme="minorHAnsi" w:cs="Calibri"/>
        </w:rPr>
        <w:t xml:space="preserve">audit of UK </w:t>
      </w:r>
      <w:r w:rsidR="00271187" w:rsidRPr="00746DAF">
        <w:rPr>
          <w:rFonts w:asciiTheme="minorHAnsi" w:hAnsiTheme="minorHAnsi" w:cs="Calibri"/>
        </w:rPr>
        <w:t>Higher Education I</w:t>
      </w:r>
      <w:r w:rsidRPr="00746DAF">
        <w:rPr>
          <w:rFonts w:asciiTheme="minorHAnsi" w:hAnsiTheme="minorHAnsi" w:cs="Calibri"/>
        </w:rPr>
        <w:t>nstitutions</w:t>
      </w:r>
      <w:r w:rsidR="00271187" w:rsidRPr="00746DAF">
        <w:rPr>
          <w:rFonts w:asciiTheme="minorHAnsi" w:hAnsiTheme="minorHAnsi" w:cs="Calibri"/>
        </w:rPr>
        <w:t xml:space="preserve"> involved in teacher education</w:t>
      </w:r>
      <w:r w:rsidRPr="00746DAF">
        <w:rPr>
          <w:rFonts w:asciiTheme="minorHAnsi" w:hAnsiTheme="minorHAnsi" w:cs="Calibri"/>
        </w:rPr>
        <w:t xml:space="preserve"> carried out in February 2017</w:t>
      </w:r>
      <w:r w:rsidR="00271187" w:rsidRPr="00746DAF">
        <w:rPr>
          <w:rFonts w:asciiTheme="minorHAnsi" w:hAnsiTheme="minorHAnsi" w:cs="Calibri"/>
        </w:rPr>
        <w:t xml:space="preserve"> </w:t>
      </w:r>
      <w:r w:rsidR="00271187" w:rsidRPr="00746DAF">
        <w:rPr>
          <w:rFonts w:asciiTheme="minorHAnsi" w:hAnsiTheme="minorHAnsi" w:cs="Calibri"/>
          <w:color w:val="FF0000"/>
        </w:rPr>
        <w:t>here</w:t>
      </w:r>
      <w:r w:rsidRPr="00746DAF">
        <w:rPr>
          <w:rFonts w:asciiTheme="minorHAnsi" w:hAnsiTheme="minorHAnsi" w:cs="Calibri"/>
          <w:color w:val="FF0000"/>
        </w:rPr>
        <w:t xml:space="preserve">, </w:t>
      </w:r>
      <w:r w:rsidR="00271187" w:rsidRPr="00746DAF">
        <w:rPr>
          <w:rFonts w:asciiTheme="minorHAnsi" w:hAnsiTheme="minorHAnsi" w:cs="Calibri"/>
        </w:rPr>
        <w:t>comparing</w:t>
      </w:r>
      <w:r w:rsidRPr="00746DAF">
        <w:rPr>
          <w:rFonts w:asciiTheme="minorHAnsi" w:hAnsiTheme="minorHAnsi" w:cs="Calibri"/>
        </w:rPr>
        <w:t xml:space="preserve"> the findings with those of a </w:t>
      </w:r>
      <w:r w:rsidR="00271187" w:rsidRPr="00746DAF">
        <w:rPr>
          <w:rFonts w:asciiTheme="minorHAnsi" w:hAnsiTheme="minorHAnsi" w:cs="Calibri"/>
        </w:rPr>
        <w:t xml:space="preserve">2011 survey </w:t>
      </w:r>
      <w:r w:rsidRPr="00746DAF">
        <w:rPr>
          <w:rStyle w:val="FootnoteReference"/>
          <w:rFonts w:asciiTheme="minorHAnsi" w:hAnsiTheme="minorHAnsi" w:cs="Calibri"/>
        </w:rPr>
        <w:footnoteReference w:id="1"/>
      </w:r>
      <w:r w:rsidRPr="00746DAF">
        <w:rPr>
          <w:rFonts w:asciiTheme="minorHAnsi" w:hAnsiTheme="minorHAnsi" w:cs="Calibri"/>
        </w:rPr>
        <w:t xml:space="preserve"> ( </w:t>
      </w:r>
      <w:r w:rsidRPr="00746DAF">
        <w:rPr>
          <w:rFonts w:asciiTheme="minorHAnsi" w:eastAsia="MS PGothic" w:hAnsiTheme="minorHAnsi" w:cstheme="minorBidi"/>
          <w:color w:val="000000" w:themeColor="text1"/>
          <w:kern w:val="24"/>
          <w:lang w:val="en-US"/>
        </w:rPr>
        <w:t xml:space="preserve">Hunt et al) </w:t>
      </w:r>
      <w:r w:rsidR="00271187" w:rsidRPr="00746DAF">
        <w:rPr>
          <w:rFonts w:asciiTheme="minorHAnsi" w:eastAsia="MS PGothic" w:hAnsiTheme="minorHAnsi" w:cstheme="minorBidi"/>
          <w:color w:val="000000" w:themeColor="text1"/>
          <w:kern w:val="24"/>
          <w:lang w:val="en-US"/>
        </w:rPr>
        <w:t>and building on research on comparative policy across the UK</w:t>
      </w:r>
      <w:r w:rsidR="00746DAF" w:rsidRPr="00746DAF">
        <w:rPr>
          <w:rFonts w:asciiTheme="minorHAnsi" w:eastAsia="MS PGothic" w:hAnsiTheme="minorHAnsi" w:cstheme="minorBidi"/>
          <w:color w:val="000000" w:themeColor="text1"/>
          <w:kern w:val="24"/>
          <w:lang w:val="en-US"/>
        </w:rPr>
        <w:t xml:space="preserve"> (2016 Bamber et Al) </w:t>
      </w:r>
      <w:r w:rsidR="00271187" w:rsidRPr="00746DAF">
        <w:rPr>
          <w:rStyle w:val="FootnoteReference"/>
          <w:rFonts w:asciiTheme="minorHAnsi" w:eastAsia="MS PGothic" w:hAnsiTheme="minorHAnsi" w:cstheme="minorBidi"/>
          <w:color w:val="000000" w:themeColor="text1"/>
          <w:kern w:val="24"/>
          <w:lang w:val="en-US"/>
        </w:rPr>
        <w:footnoteReference w:id="2"/>
      </w:r>
      <w:r w:rsidR="00271187" w:rsidRPr="00746DAF">
        <w:rPr>
          <w:rFonts w:asciiTheme="minorHAnsi" w:eastAsia="MS PGothic" w:hAnsiTheme="minorHAnsi" w:cstheme="minorBidi"/>
          <w:color w:val="000000" w:themeColor="text1"/>
          <w:kern w:val="24"/>
          <w:lang w:val="en-US"/>
        </w:rPr>
        <w:t xml:space="preserve"> . </w:t>
      </w:r>
    </w:p>
    <w:p w:rsidR="00746DAF" w:rsidRPr="00746DAF" w:rsidRDefault="00746DAF" w:rsidP="00F47F1D">
      <w:pPr>
        <w:pStyle w:val="NormalWeb"/>
        <w:kinsoku w:val="0"/>
        <w:overflowPunct w:val="0"/>
        <w:spacing w:before="0" w:beforeAutospacing="0" w:after="0" w:afterAutospacing="0"/>
        <w:textAlignment w:val="baseline"/>
        <w:rPr>
          <w:rFonts w:asciiTheme="minorHAnsi" w:eastAsia="MS PGothic" w:hAnsiTheme="minorHAnsi" w:cstheme="minorBidi"/>
          <w:color w:val="000000" w:themeColor="text1"/>
          <w:kern w:val="24"/>
          <w:lang w:val="en-US"/>
        </w:rPr>
      </w:pPr>
    </w:p>
    <w:p w:rsidR="00F47F1D" w:rsidRDefault="00746DAF" w:rsidP="00F47F1D">
      <w:pPr>
        <w:pStyle w:val="NormalWeb"/>
        <w:kinsoku w:val="0"/>
        <w:overflowPunct w:val="0"/>
        <w:spacing w:before="0" w:beforeAutospacing="0" w:after="0" w:afterAutospacing="0"/>
        <w:textAlignment w:val="baseline"/>
        <w:rPr>
          <w:rFonts w:asciiTheme="minorHAnsi" w:eastAsia="MS PGothic" w:hAnsiTheme="minorHAnsi" w:cstheme="minorBidi"/>
          <w:color w:val="000000" w:themeColor="text1"/>
          <w:kern w:val="24"/>
          <w:lang w:val="en-US"/>
        </w:rPr>
      </w:pPr>
      <w:r w:rsidRPr="00746DAF">
        <w:rPr>
          <w:rFonts w:asciiTheme="minorHAnsi" w:eastAsia="MS PGothic" w:hAnsiTheme="minorHAnsi" w:cstheme="minorBidi"/>
          <w:color w:val="000000" w:themeColor="text1"/>
          <w:kern w:val="24"/>
          <w:lang w:val="en-US"/>
        </w:rPr>
        <w:t xml:space="preserve">The following small group discussions reflected on participants’ experiences in their institutions and considered emerging themes. </w:t>
      </w:r>
      <w:r>
        <w:rPr>
          <w:rFonts w:asciiTheme="minorHAnsi" w:eastAsia="MS PGothic" w:hAnsiTheme="minorHAnsi" w:cstheme="minorBidi"/>
          <w:color w:val="000000" w:themeColor="text1"/>
          <w:kern w:val="24"/>
          <w:lang w:val="en-US"/>
        </w:rPr>
        <w:t>N</w:t>
      </w:r>
      <w:r w:rsidRPr="00746DAF">
        <w:rPr>
          <w:rFonts w:asciiTheme="minorHAnsi" w:eastAsia="MS PGothic" w:hAnsiTheme="minorHAnsi" w:cstheme="minorBidi"/>
          <w:color w:val="000000" w:themeColor="text1"/>
          <w:kern w:val="24"/>
          <w:lang w:val="en-US"/>
        </w:rPr>
        <w:t xml:space="preserve">otes from </w:t>
      </w:r>
      <w:r>
        <w:rPr>
          <w:rFonts w:asciiTheme="minorHAnsi" w:eastAsia="MS PGothic" w:hAnsiTheme="minorHAnsi" w:cstheme="minorBidi"/>
          <w:color w:val="000000" w:themeColor="text1"/>
          <w:kern w:val="24"/>
          <w:lang w:val="en-US"/>
        </w:rPr>
        <w:t>each group</w:t>
      </w:r>
      <w:r w:rsidRPr="00746DAF">
        <w:rPr>
          <w:rFonts w:asciiTheme="minorHAnsi" w:eastAsia="MS PGothic" w:hAnsiTheme="minorHAnsi" w:cstheme="minorBidi"/>
          <w:color w:val="000000" w:themeColor="text1"/>
          <w:kern w:val="24"/>
          <w:lang w:val="en-US"/>
        </w:rPr>
        <w:t xml:space="preserve"> </w:t>
      </w:r>
      <w:r>
        <w:rPr>
          <w:rFonts w:asciiTheme="minorHAnsi" w:eastAsia="MS PGothic" w:hAnsiTheme="minorHAnsi" w:cstheme="minorBidi"/>
          <w:color w:val="000000" w:themeColor="text1"/>
          <w:kern w:val="24"/>
          <w:lang w:val="en-US"/>
        </w:rPr>
        <w:t xml:space="preserve">can be found </w:t>
      </w:r>
      <w:r w:rsidRPr="00746DAF">
        <w:rPr>
          <w:rFonts w:asciiTheme="minorHAnsi" w:eastAsia="MS PGothic" w:hAnsiTheme="minorHAnsi" w:cstheme="minorBidi"/>
          <w:color w:val="000000" w:themeColor="text1"/>
          <w:kern w:val="24"/>
          <w:lang w:val="en-US"/>
        </w:rPr>
        <w:t xml:space="preserve">in Appendix 3. </w:t>
      </w:r>
    </w:p>
    <w:p w:rsidR="00746DAF" w:rsidRDefault="00746DAF" w:rsidP="00F47F1D">
      <w:pPr>
        <w:pStyle w:val="NormalWeb"/>
        <w:kinsoku w:val="0"/>
        <w:overflowPunct w:val="0"/>
        <w:spacing w:before="0" w:beforeAutospacing="0" w:after="0" w:afterAutospacing="0"/>
        <w:textAlignment w:val="baseline"/>
        <w:rPr>
          <w:rFonts w:asciiTheme="minorHAnsi" w:eastAsia="MS PGothic" w:hAnsiTheme="minorHAnsi" w:cstheme="minorBidi"/>
          <w:color w:val="000000" w:themeColor="text1"/>
          <w:kern w:val="24"/>
          <w:lang w:val="en-US"/>
        </w:rPr>
      </w:pPr>
    </w:p>
    <w:p w:rsidR="00746DAF" w:rsidRDefault="00746DAF" w:rsidP="00F47F1D">
      <w:pPr>
        <w:pStyle w:val="NormalWeb"/>
        <w:kinsoku w:val="0"/>
        <w:overflowPunct w:val="0"/>
        <w:spacing w:before="0" w:beforeAutospacing="0" w:after="0" w:afterAutospacing="0"/>
        <w:textAlignment w:val="baseline"/>
        <w:rPr>
          <w:rFonts w:asciiTheme="minorHAnsi" w:eastAsia="MS PGothic" w:hAnsiTheme="minorHAnsi" w:cstheme="minorBidi"/>
          <w:color w:val="000000" w:themeColor="text1"/>
          <w:kern w:val="24"/>
          <w:lang w:val="en-US"/>
        </w:rPr>
      </w:pPr>
      <w:r>
        <w:rPr>
          <w:rFonts w:asciiTheme="minorHAnsi" w:eastAsia="MS PGothic" w:hAnsiTheme="minorHAnsi" w:cstheme="minorBidi"/>
          <w:color w:val="000000" w:themeColor="text1"/>
          <w:kern w:val="24"/>
          <w:lang w:val="en-US"/>
        </w:rPr>
        <w:t xml:space="preserve">Plenary discussion </w:t>
      </w:r>
      <w:r w:rsidR="00C7667C">
        <w:rPr>
          <w:rFonts w:asciiTheme="minorHAnsi" w:eastAsia="MS PGothic" w:hAnsiTheme="minorHAnsi" w:cstheme="minorBidi"/>
          <w:color w:val="000000" w:themeColor="text1"/>
          <w:kern w:val="24"/>
          <w:lang w:val="en-US"/>
        </w:rPr>
        <w:t>recognized the main emerging themes as</w:t>
      </w:r>
      <w:r w:rsidR="00F500C7">
        <w:rPr>
          <w:rFonts w:asciiTheme="minorHAnsi" w:eastAsia="MS PGothic" w:hAnsiTheme="minorHAnsi" w:cstheme="minorBidi"/>
          <w:color w:val="000000" w:themeColor="text1"/>
          <w:kern w:val="24"/>
          <w:lang w:val="en-US"/>
        </w:rPr>
        <w:t>:</w:t>
      </w:r>
    </w:p>
    <w:p w:rsidR="00C7667C" w:rsidRPr="00365996" w:rsidRDefault="00365996" w:rsidP="00365996">
      <w:pPr>
        <w:pStyle w:val="NormalWeb"/>
        <w:numPr>
          <w:ilvl w:val="0"/>
          <w:numId w:val="4"/>
        </w:numPr>
        <w:kinsoku w:val="0"/>
        <w:overflowPunct w:val="0"/>
        <w:spacing w:before="0" w:beforeAutospacing="0" w:after="0" w:afterAutospacing="0"/>
        <w:textAlignment w:val="baseline"/>
        <w:rPr>
          <w:rFonts w:asciiTheme="minorHAnsi" w:eastAsia="MS PGothic" w:hAnsiTheme="minorHAnsi" w:cstheme="minorBidi"/>
          <w:color w:val="000000" w:themeColor="text1"/>
          <w:kern w:val="24"/>
          <w:lang w:val="en-US"/>
        </w:rPr>
      </w:pPr>
      <w:r>
        <w:rPr>
          <w:rFonts w:asciiTheme="minorHAnsi" w:eastAsia="MS PGothic" w:hAnsiTheme="minorHAnsi" w:cstheme="minorBidi"/>
          <w:color w:val="000000" w:themeColor="text1"/>
          <w:kern w:val="24"/>
          <w:lang w:val="en-US"/>
        </w:rPr>
        <w:t>Providing g</w:t>
      </w:r>
      <w:r w:rsidR="00C7667C" w:rsidRPr="00365996">
        <w:rPr>
          <w:rFonts w:asciiTheme="minorHAnsi" w:eastAsia="MS PGothic" w:hAnsiTheme="minorHAnsi" w:cstheme="minorBidi"/>
          <w:color w:val="000000" w:themeColor="text1"/>
          <w:kern w:val="24"/>
          <w:lang w:val="en-US"/>
        </w:rPr>
        <w:t>reater clarity in the terminology used, and to bring together ESD and GC</w:t>
      </w:r>
      <w:r w:rsidR="00F500C7">
        <w:rPr>
          <w:rFonts w:asciiTheme="minorHAnsi" w:eastAsia="MS PGothic" w:hAnsiTheme="minorHAnsi" w:cstheme="minorBidi"/>
          <w:color w:val="000000" w:themeColor="text1"/>
          <w:kern w:val="24"/>
          <w:lang w:val="en-US"/>
        </w:rPr>
        <w:t>;</w:t>
      </w:r>
    </w:p>
    <w:p w:rsidR="00C7667C" w:rsidRPr="00365996" w:rsidRDefault="00365996" w:rsidP="00365996">
      <w:pPr>
        <w:pStyle w:val="NormalWeb"/>
        <w:numPr>
          <w:ilvl w:val="0"/>
          <w:numId w:val="4"/>
        </w:numPr>
        <w:kinsoku w:val="0"/>
        <w:overflowPunct w:val="0"/>
        <w:spacing w:before="0" w:beforeAutospacing="0" w:after="0" w:afterAutospacing="0"/>
        <w:textAlignment w:val="baseline"/>
        <w:rPr>
          <w:rFonts w:asciiTheme="minorHAnsi" w:eastAsia="MS PGothic" w:hAnsiTheme="minorHAnsi" w:cstheme="minorBidi"/>
          <w:color w:val="000000" w:themeColor="text1"/>
          <w:kern w:val="24"/>
          <w:lang w:val="en-US"/>
        </w:rPr>
      </w:pPr>
      <w:r>
        <w:rPr>
          <w:rFonts w:asciiTheme="minorHAnsi" w:eastAsia="MS PGothic" w:hAnsiTheme="minorHAnsi" w:cstheme="minorBidi"/>
          <w:color w:val="000000" w:themeColor="text1"/>
          <w:kern w:val="24"/>
          <w:lang w:val="en-US"/>
        </w:rPr>
        <w:t xml:space="preserve">Recognising </w:t>
      </w:r>
      <w:r w:rsidR="00C7667C" w:rsidRPr="00365996">
        <w:rPr>
          <w:rFonts w:asciiTheme="minorHAnsi" w:eastAsia="MS PGothic" w:hAnsiTheme="minorHAnsi" w:cstheme="minorBidi"/>
          <w:color w:val="000000" w:themeColor="text1"/>
          <w:kern w:val="24"/>
          <w:lang w:val="en-US"/>
        </w:rPr>
        <w:t>the importance of linking the aspirations of the Education Goal 4 in the UN SDGs with the current agendas of policy makers across the UK</w:t>
      </w:r>
      <w:r w:rsidR="00F500C7">
        <w:rPr>
          <w:rFonts w:asciiTheme="minorHAnsi" w:eastAsia="MS PGothic" w:hAnsiTheme="minorHAnsi" w:cstheme="minorBidi"/>
          <w:color w:val="000000" w:themeColor="text1"/>
          <w:kern w:val="24"/>
          <w:lang w:val="en-US"/>
        </w:rPr>
        <w:t>;</w:t>
      </w:r>
    </w:p>
    <w:p w:rsidR="00C7667C" w:rsidRPr="00365996" w:rsidRDefault="00C7667C" w:rsidP="00365996">
      <w:pPr>
        <w:pStyle w:val="NormalWeb"/>
        <w:numPr>
          <w:ilvl w:val="0"/>
          <w:numId w:val="4"/>
        </w:numPr>
        <w:kinsoku w:val="0"/>
        <w:overflowPunct w:val="0"/>
        <w:spacing w:before="0" w:beforeAutospacing="0" w:after="0" w:afterAutospacing="0"/>
        <w:textAlignment w:val="baseline"/>
        <w:rPr>
          <w:rFonts w:asciiTheme="minorHAnsi" w:eastAsia="MS PGothic" w:hAnsiTheme="minorHAnsi" w:cstheme="minorBidi"/>
          <w:color w:val="000000" w:themeColor="text1"/>
          <w:kern w:val="24"/>
          <w:lang w:val="en-US"/>
        </w:rPr>
      </w:pPr>
      <w:r w:rsidRPr="00365996">
        <w:rPr>
          <w:rFonts w:asciiTheme="minorHAnsi" w:eastAsia="MS PGothic" w:hAnsiTheme="minorHAnsi" w:cstheme="minorBidi"/>
          <w:color w:val="000000" w:themeColor="text1"/>
          <w:kern w:val="24"/>
          <w:lang w:val="en-US"/>
        </w:rPr>
        <w:t>Considering Initial Teacher Education and Continuing Professional Development as a continuum, with teachers as potential agents of change</w:t>
      </w:r>
      <w:r w:rsidR="00F500C7">
        <w:rPr>
          <w:rFonts w:asciiTheme="minorHAnsi" w:eastAsia="MS PGothic" w:hAnsiTheme="minorHAnsi" w:cstheme="minorBidi"/>
          <w:color w:val="000000" w:themeColor="text1"/>
          <w:kern w:val="24"/>
          <w:lang w:val="en-US"/>
        </w:rPr>
        <w:t>;</w:t>
      </w:r>
    </w:p>
    <w:p w:rsidR="00365996" w:rsidRDefault="00365996" w:rsidP="00365996">
      <w:pPr>
        <w:pStyle w:val="ListParagraph"/>
        <w:numPr>
          <w:ilvl w:val="0"/>
          <w:numId w:val="5"/>
        </w:numPr>
        <w:spacing w:before="0" w:after="200"/>
        <w:rPr>
          <w:rFonts w:asciiTheme="minorHAnsi" w:hAnsiTheme="minorHAnsi"/>
        </w:rPr>
      </w:pPr>
      <w:r w:rsidRPr="00365996">
        <w:rPr>
          <w:rFonts w:asciiTheme="minorHAnsi" w:eastAsia="MS PGothic" w:hAnsiTheme="minorHAnsi" w:cstheme="minorBidi"/>
          <w:color w:val="000000" w:themeColor="text1"/>
          <w:kern w:val="24"/>
          <w:lang w:val="en-US"/>
        </w:rPr>
        <w:t>Infusing</w:t>
      </w:r>
      <w:r w:rsidR="00C7667C" w:rsidRPr="00365996">
        <w:rPr>
          <w:rFonts w:asciiTheme="minorHAnsi" w:eastAsia="MS PGothic" w:hAnsiTheme="minorHAnsi" w:cstheme="minorBidi"/>
          <w:color w:val="000000" w:themeColor="text1"/>
          <w:kern w:val="24"/>
          <w:lang w:val="en-US"/>
        </w:rPr>
        <w:t xml:space="preserve"> </w:t>
      </w:r>
      <w:r w:rsidRPr="00365996">
        <w:rPr>
          <w:rFonts w:asciiTheme="minorHAnsi" w:eastAsia="MS PGothic" w:hAnsiTheme="minorHAnsi" w:cstheme="minorBidi"/>
          <w:color w:val="000000" w:themeColor="text1"/>
          <w:kern w:val="24"/>
          <w:lang w:val="en-US"/>
        </w:rPr>
        <w:t>subject based courses with the values, skills and knowledge of ESD/GC</w:t>
      </w:r>
      <w:r w:rsidRPr="00365996">
        <w:rPr>
          <w:rFonts w:asciiTheme="minorHAnsi" w:hAnsiTheme="minorHAnsi"/>
        </w:rPr>
        <w:t xml:space="preserve"> to prepare young people for an uncertain future</w:t>
      </w:r>
      <w:r w:rsidR="00F500C7">
        <w:rPr>
          <w:rFonts w:asciiTheme="minorHAnsi" w:hAnsiTheme="minorHAnsi"/>
        </w:rPr>
        <w:t>;</w:t>
      </w:r>
    </w:p>
    <w:p w:rsidR="00746DAF" w:rsidRPr="0069699D" w:rsidRDefault="00365996" w:rsidP="0069699D">
      <w:pPr>
        <w:pStyle w:val="ListParagraph"/>
        <w:numPr>
          <w:ilvl w:val="0"/>
          <w:numId w:val="5"/>
        </w:numPr>
        <w:spacing w:before="0" w:after="200"/>
        <w:rPr>
          <w:rFonts w:asciiTheme="minorHAnsi" w:hAnsiTheme="minorHAnsi"/>
        </w:rPr>
      </w:pPr>
      <w:r w:rsidRPr="00365996">
        <w:rPr>
          <w:rFonts w:asciiTheme="minorHAnsi" w:eastAsia="MS PGothic" w:hAnsiTheme="minorHAnsi" w:cstheme="minorBidi"/>
          <w:color w:val="000000" w:themeColor="text1"/>
          <w:kern w:val="24"/>
          <w:lang w:val="en-US"/>
        </w:rPr>
        <w:t>Providing opportunities for teacher educators to network and share approaches</w:t>
      </w:r>
      <w:r w:rsidR="00F500C7">
        <w:rPr>
          <w:rFonts w:asciiTheme="minorHAnsi" w:eastAsia="MS PGothic" w:hAnsiTheme="minorHAnsi" w:cstheme="minorBidi"/>
          <w:color w:val="000000" w:themeColor="text1"/>
          <w:kern w:val="24"/>
          <w:lang w:val="en-US"/>
        </w:rPr>
        <w:t>.</w:t>
      </w:r>
    </w:p>
    <w:p w:rsidR="00164411" w:rsidRPr="00F91EFB" w:rsidRDefault="00164411" w:rsidP="00164411">
      <w:pPr>
        <w:spacing w:before="0"/>
        <w:rPr>
          <w:rFonts w:asciiTheme="minorHAnsi" w:hAnsiTheme="minorHAnsi"/>
          <w:b/>
        </w:rPr>
      </w:pPr>
      <w:r>
        <w:rPr>
          <w:rFonts w:asciiTheme="minorHAnsi" w:hAnsiTheme="minorHAnsi"/>
          <w:b/>
        </w:rPr>
        <w:t xml:space="preserve">4. </w:t>
      </w:r>
      <w:r w:rsidRPr="00F91EFB">
        <w:rPr>
          <w:rFonts w:asciiTheme="minorHAnsi" w:hAnsiTheme="minorHAnsi"/>
          <w:b/>
        </w:rPr>
        <w:t>UNESCO 2017: Teacher Education, ESD and GC</w:t>
      </w:r>
    </w:p>
    <w:p w:rsidR="00260CC8" w:rsidRDefault="00260CC8" w:rsidP="00260CC8">
      <w:pPr>
        <w:spacing w:before="0"/>
        <w:rPr>
          <w:rFonts w:asciiTheme="minorHAnsi" w:hAnsiTheme="minorHAnsi"/>
        </w:rPr>
      </w:pPr>
    </w:p>
    <w:p w:rsidR="00260CC8" w:rsidRDefault="00164411" w:rsidP="00260CC8">
      <w:pPr>
        <w:spacing w:before="0"/>
        <w:rPr>
          <w:rFonts w:asciiTheme="minorHAnsi" w:hAnsiTheme="minorHAnsi"/>
          <w:lang w:val="en-US"/>
        </w:rPr>
      </w:pPr>
      <w:r w:rsidRPr="00F91EFB">
        <w:rPr>
          <w:rFonts w:asciiTheme="minorHAnsi" w:hAnsiTheme="minorHAnsi"/>
        </w:rPr>
        <w:t xml:space="preserve">Dr Doug Bourn, </w:t>
      </w:r>
      <w:r w:rsidRPr="00F91EFB">
        <w:rPr>
          <w:rFonts w:asciiTheme="minorHAnsi" w:hAnsiTheme="minorHAnsi"/>
          <w:lang w:val="en-US"/>
        </w:rPr>
        <w:t xml:space="preserve">Director of </w:t>
      </w:r>
      <w:hyperlink r:id="rId18" w:history="1">
        <w:r w:rsidRPr="00164411">
          <w:rPr>
            <w:rStyle w:val="Hyperlink"/>
            <w:rFonts w:asciiTheme="minorHAnsi" w:hAnsiTheme="minorHAnsi"/>
            <w:lang w:val="en-US"/>
          </w:rPr>
          <w:t>Development Education Research Centre</w:t>
        </w:r>
      </w:hyperlink>
      <w:r>
        <w:rPr>
          <w:rFonts w:asciiTheme="minorHAnsi" w:hAnsiTheme="minorHAnsi"/>
          <w:lang w:val="en-US"/>
        </w:rPr>
        <w:t xml:space="preserve">, UCL Institute of Education shared the preliminary findings of the UNESCO commissioned research on Teacher Education, ESD and GC </w:t>
      </w:r>
      <w:r w:rsidRPr="00164411">
        <w:rPr>
          <w:rFonts w:asciiTheme="minorHAnsi" w:hAnsiTheme="minorHAnsi"/>
          <w:color w:val="FF0000"/>
          <w:lang w:val="en-US"/>
        </w:rPr>
        <w:t>here</w:t>
      </w:r>
      <w:r w:rsidR="00260CC8" w:rsidRPr="00260CC8">
        <w:rPr>
          <w:rFonts w:asciiTheme="minorHAnsi" w:hAnsiTheme="minorHAnsi"/>
          <w:lang w:val="en-US"/>
        </w:rPr>
        <w:t xml:space="preserve">. </w:t>
      </w:r>
    </w:p>
    <w:p w:rsidR="00260CC8" w:rsidRDefault="00260CC8" w:rsidP="00260CC8">
      <w:pPr>
        <w:spacing w:before="0"/>
        <w:rPr>
          <w:rFonts w:asciiTheme="minorHAnsi" w:hAnsiTheme="minorHAnsi"/>
          <w:lang w:val="en-US"/>
        </w:rPr>
      </w:pPr>
    </w:p>
    <w:p w:rsidR="00260CC8" w:rsidRPr="00260CC8" w:rsidRDefault="00260CC8" w:rsidP="00260CC8">
      <w:pPr>
        <w:spacing w:before="0"/>
        <w:rPr>
          <w:rFonts w:asciiTheme="minorHAnsi" w:hAnsiTheme="minorHAnsi"/>
          <w:lang w:val="en-US"/>
        </w:rPr>
      </w:pPr>
      <w:r w:rsidRPr="00260CC8">
        <w:rPr>
          <w:rFonts w:asciiTheme="minorHAnsi" w:hAnsiTheme="minorHAnsi"/>
          <w:lang w:val="en-US"/>
        </w:rPr>
        <w:t>Th</w:t>
      </w:r>
      <w:r>
        <w:rPr>
          <w:rFonts w:asciiTheme="minorHAnsi" w:hAnsiTheme="minorHAnsi"/>
          <w:lang w:val="en-US"/>
        </w:rPr>
        <w:t>is</w:t>
      </w:r>
      <w:r w:rsidRPr="00260CC8">
        <w:rPr>
          <w:rFonts w:asciiTheme="minorHAnsi" w:hAnsiTheme="minorHAnsi"/>
          <w:lang w:val="en-US"/>
        </w:rPr>
        <w:t xml:space="preserve"> </w:t>
      </w:r>
      <w:r>
        <w:rPr>
          <w:rFonts w:asciiTheme="minorHAnsi" w:hAnsiTheme="minorHAnsi"/>
          <w:lang w:val="en-US"/>
        </w:rPr>
        <w:t>recent research</w:t>
      </w:r>
      <w:r w:rsidRPr="00260CC8">
        <w:rPr>
          <w:rFonts w:asciiTheme="minorHAnsi" w:hAnsiTheme="minorHAnsi"/>
          <w:lang w:val="en-US"/>
        </w:rPr>
        <w:t xml:space="preserve"> </w:t>
      </w:r>
      <w:r>
        <w:rPr>
          <w:rFonts w:asciiTheme="minorHAnsi" w:hAnsiTheme="minorHAnsi"/>
          <w:lang w:val="en-US"/>
        </w:rPr>
        <w:t>aimed to</w:t>
      </w:r>
      <w:r w:rsidRPr="00260CC8">
        <w:rPr>
          <w:rFonts w:asciiTheme="minorHAnsi" w:hAnsiTheme="minorHAnsi"/>
          <w:lang w:val="en-US"/>
        </w:rPr>
        <w:t xml:space="preserve"> </w:t>
      </w:r>
      <w:r>
        <w:rPr>
          <w:rFonts w:asciiTheme="minorHAnsi" w:hAnsiTheme="minorHAnsi"/>
          <w:lang w:val="en-US"/>
        </w:rPr>
        <w:t>identify:  the</w:t>
      </w:r>
      <w:r w:rsidRPr="00260CC8">
        <w:rPr>
          <w:rFonts w:asciiTheme="minorHAnsi" w:hAnsiTheme="minorHAnsi"/>
          <w:lang w:val="en-US"/>
        </w:rPr>
        <w:t xml:space="preserve"> common ways of preparing teachers in the areas of </w:t>
      </w:r>
      <w:r>
        <w:rPr>
          <w:rFonts w:asciiTheme="minorHAnsi" w:hAnsiTheme="minorHAnsi"/>
          <w:lang w:val="en-US"/>
        </w:rPr>
        <w:t xml:space="preserve">ESD /GC; </w:t>
      </w:r>
    </w:p>
    <w:p w:rsidR="00260CC8" w:rsidRDefault="00260CC8" w:rsidP="00260CC8">
      <w:pPr>
        <w:spacing w:before="0"/>
        <w:rPr>
          <w:rFonts w:asciiTheme="minorHAnsi" w:hAnsiTheme="minorHAnsi"/>
          <w:lang w:val="en-US"/>
        </w:rPr>
      </w:pPr>
      <w:r w:rsidRPr="00260CC8">
        <w:rPr>
          <w:rFonts w:asciiTheme="minorHAnsi" w:hAnsiTheme="minorHAnsi"/>
          <w:lang w:val="en-US"/>
        </w:rPr>
        <w:t>the best methodology to monitor the GCED and ESD-related training of teachers, particularly at the level of initial teacher education (ITE) f</w:t>
      </w:r>
      <w:r>
        <w:rPr>
          <w:rFonts w:asciiTheme="minorHAnsi" w:hAnsiTheme="minorHAnsi"/>
          <w:lang w:val="en-US"/>
        </w:rPr>
        <w:t xml:space="preserve">rom a comparative perspective; </w:t>
      </w:r>
      <w:r w:rsidRPr="00260CC8">
        <w:rPr>
          <w:rFonts w:asciiTheme="minorHAnsi" w:hAnsiTheme="minorHAnsi"/>
          <w:lang w:val="en-US"/>
        </w:rPr>
        <w:t xml:space="preserve">available evidence base on the extent to which </w:t>
      </w:r>
      <w:r>
        <w:rPr>
          <w:rFonts w:asciiTheme="minorHAnsi" w:hAnsiTheme="minorHAnsi"/>
          <w:lang w:val="en-US"/>
        </w:rPr>
        <w:t>ESD and GC</w:t>
      </w:r>
      <w:r w:rsidRPr="00260CC8">
        <w:rPr>
          <w:rFonts w:asciiTheme="minorHAnsi" w:hAnsiTheme="minorHAnsi"/>
          <w:lang w:val="en-US"/>
        </w:rPr>
        <w:t xml:space="preserve"> are included in ITE and materials in different countries, as well as CPD programmes</w:t>
      </w:r>
      <w:r>
        <w:rPr>
          <w:rFonts w:asciiTheme="minorHAnsi" w:hAnsiTheme="minorHAnsi"/>
          <w:lang w:val="en-US"/>
        </w:rPr>
        <w:t xml:space="preserve">; </w:t>
      </w:r>
      <w:r w:rsidRPr="00260CC8">
        <w:rPr>
          <w:rFonts w:asciiTheme="minorHAnsi" w:hAnsiTheme="minorHAnsi"/>
          <w:lang w:val="en-US"/>
        </w:rPr>
        <w:t xml:space="preserve"> the most emphasized GCED and ESD-related issues in teacher training around the world</w:t>
      </w:r>
      <w:r>
        <w:rPr>
          <w:rFonts w:asciiTheme="minorHAnsi" w:hAnsiTheme="minorHAnsi"/>
          <w:lang w:val="en-US"/>
        </w:rPr>
        <w:t xml:space="preserve">; </w:t>
      </w:r>
      <w:r w:rsidRPr="00260CC8">
        <w:rPr>
          <w:rFonts w:asciiTheme="minorHAnsi" w:hAnsiTheme="minorHAnsi"/>
          <w:lang w:val="en-US"/>
        </w:rPr>
        <w:t>the best mechanisms to improve GCED and ESD-related teacher education</w:t>
      </w:r>
      <w:r>
        <w:rPr>
          <w:rFonts w:asciiTheme="minorHAnsi" w:hAnsiTheme="minorHAnsi"/>
          <w:lang w:val="en-US"/>
        </w:rPr>
        <w:t xml:space="preserve"> and </w:t>
      </w:r>
      <w:r w:rsidRPr="00260CC8">
        <w:rPr>
          <w:rFonts w:asciiTheme="minorHAnsi" w:hAnsiTheme="minorHAnsi"/>
          <w:lang w:val="en-US"/>
        </w:rPr>
        <w:t>the prospects (given the current situation and the available evidence) that systems will meet the 4.7 target in relation to teacher education by 2030?</w:t>
      </w:r>
      <w:r>
        <w:rPr>
          <w:rFonts w:asciiTheme="minorHAnsi" w:hAnsiTheme="minorHAnsi"/>
          <w:lang w:val="en-US"/>
        </w:rPr>
        <w:t xml:space="preserve"> </w:t>
      </w:r>
    </w:p>
    <w:p w:rsidR="00164411" w:rsidRDefault="00260CC8" w:rsidP="00260CC8">
      <w:pPr>
        <w:spacing w:before="0"/>
        <w:rPr>
          <w:rFonts w:asciiTheme="minorHAnsi" w:hAnsiTheme="minorHAnsi"/>
          <w:lang w:val="en-US"/>
        </w:rPr>
      </w:pPr>
      <w:r>
        <w:rPr>
          <w:rFonts w:asciiTheme="minorHAnsi" w:hAnsiTheme="minorHAnsi"/>
          <w:lang w:val="en-US"/>
        </w:rPr>
        <w:t>A draft summary of findings can be found in Appendix 4.</w:t>
      </w:r>
    </w:p>
    <w:p w:rsidR="00DD2595" w:rsidRDefault="00DD2595" w:rsidP="00260CC8">
      <w:pPr>
        <w:spacing w:before="0"/>
        <w:rPr>
          <w:rFonts w:asciiTheme="minorHAnsi" w:hAnsiTheme="minorHAnsi"/>
          <w:lang w:val="en-US"/>
        </w:rPr>
      </w:pPr>
    </w:p>
    <w:p w:rsidR="00DD2595" w:rsidRDefault="00DD2595" w:rsidP="00260CC8">
      <w:pPr>
        <w:spacing w:before="0"/>
        <w:rPr>
          <w:rFonts w:asciiTheme="minorHAnsi" w:hAnsiTheme="minorHAnsi"/>
          <w:lang w:val="en-US"/>
        </w:rPr>
      </w:pPr>
      <w:r>
        <w:rPr>
          <w:rFonts w:asciiTheme="minorHAnsi" w:hAnsiTheme="minorHAnsi"/>
          <w:lang w:val="en-US"/>
        </w:rPr>
        <w:t xml:space="preserve">The following discussion considered the need to address ‘Quality’ in education, and what this might mean. </w:t>
      </w:r>
      <w:r w:rsidR="0069699D">
        <w:rPr>
          <w:rFonts w:asciiTheme="minorHAnsi" w:hAnsiTheme="minorHAnsi"/>
          <w:lang w:val="en-US"/>
        </w:rPr>
        <w:t>The need to engage with deeper issues and questions and new approaches to teaching and learning was seen as key with quality depending on context. There was an opportunity to use ‘champions’ to broaden engagement with ESD/GC  as there is evidence that peer to peer learning is extremely effective. A cascade approach from policy to practice with real stakeholder engagement would bring about the transformative change required. The need for UNESCO to focus on improving quality through working with teacher educators was seen as key.</w:t>
      </w:r>
    </w:p>
    <w:p w:rsidR="0069699D" w:rsidRDefault="0069699D" w:rsidP="00260CC8">
      <w:pPr>
        <w:spacing w:before="0"/>
        <w:rPr>
          <w:rFonts w:asciiTheme="minorHAnsi" w:hAnsiTheme="minorHAnsi"/>
          <w:lang w:val="en-US"/>
        </w:rPr>
      </w:pPr>
    </w:p>
    <w:p w:rsidR="0069699D" w:rsidRDefault="0069699D" w:rsidP="00260CC8">
      <w:pPr>
        <w:spacing w:before="0"/>
        <w:rPr>
          <w:rFonts w:asciiTheme="minorHAnsi" w:hAnsiTheme="minorHAnsi"/>
          <w:lang w:val="en-US"/>
        </w:rPr>
      </w:pPr>
    </w:p>
    <w:p w:rsidR="00DD2595" w:rsidRDefault="00DD2595" w:rsidP="00260CC8">
      <w:pPr>
        <w:spacing w:before="0"/>
        <w:rPr>
          <w:rFonts w:asciiTheme="minorHAnsi" w:hAnsiTheme="minorHAnsi"/>
          <w:lang w:val="en-US"/>
        </w:rPr>
      </w:pPr>
    </w:p>
    <w:p w:rsidR="00260CC8" w:rsidRPr="00DD2595" w:rsidRDefault="00DD2595" w:rsidP="00260CC8">
      <w:pPr>
        <w:spacing w:before="0"/>
        <w:rPr>
          <w:rFonts w:asciiTheme="minorHAnsi" w:hAnsiTheme="minorHAnsi"/>
          <w:b/>
          <w:lang w:val="en-US"/>
        </w:rPr>
      </w:pPr>
      <w:r w:rsidRPr="00DD2595">
        <w:rPr>
          <w:rFonts w:asciiTheme="minorHAnsi" w:hAnsiTheme="minorHAnsi"/>
          <w:b/>
          <w:lang w:val="en-US"/>
        </w:rPr>
        <w:lastRenderedPageBreak/>
        <w:t xml:space="preserve">5. </w:t>
      </w:r>
      <w:r>
        <w:rPr>
          <w:rFonts w:asciiTheme="minorHAnsi" w:hAnsiTheme="minorHAnsi"/>
          <w:b/>
          <w:lang w:val="en-US"/>
        </w:rPr>
        <w:t xml:space="preserve">Conclusions: </w:t>
      </w:r>
      <w:r w:rsidRPr="00DD2595">
        <w:rPr>
          <w:rFonts w:asciiTheme="minorHAnsi" w:hAnsiTheme="minorHAnsi"/>
          <w:b/>
          <w:lang w:val="en-US"/>
        </w:rPr>
        <w:t>Identifying Opportunities for Making Progress</w:t>
      </w:r>
    </w:p>
    <w:p w:rsidR="00746DAF" w:rsidRDefault="00746DAF" w:rsidP="00F47F1D">
      <w:pPr>
        <w:pStyle w:val="NormalWeb"/>
        <w:kinsoku w:val="0"/>
        <w:overflowPunct w:val="0"/>
        <w:spacing w:before="0" w:beforeAutospacing="0" w:after="0" w:afterAutospacing="0"/>
        <w:textAlignment w:val="baseline"/>
        <w:rPr>
          <w:rFonts w:ascii="MS Reference Sans Serif" w:eastAsia="MS PGothic" w:hAnsi="MS Reference Sans Serif" w:cstheme="minorBidi"/>
          <w:color w:val="000000" w:themeColor="text1"/>
          <w:kern w:val="24"/>
          <w:sz w:val="22"/>
          <w:szCs w:val="22"/>
          <w:lang w:val="en-US"/>
        </w:rPr>
      </w:pPr>
    </w:p>
    <w:p w:rsidR="00DD2595" w:rsidRPr="00DD2595" w:rsidRDefault="00DD2595" w:rsidP="00F47F1D">
      <w:pPr>
        <w:pStyle w:val="NormalWeb"/>
        <w:kinsoku w:val="0"/>
        <w:overflowPunct w:val="0"/>
        <w:spacing w:before="0" w:beforeAutospacing="0" w:after="0" w:afterAutospacing="0"/>
        <w:textAlignment w:val="baseline"/>
        <w:rPr>
          <w:rFonts w:asciiTheme="minorHAnsi" w:eastAsia="MS PGothic" w:hAnsiTheme="minorHAnsi" w:cstheme="minorBidi"/>
          <w:color w:val="000000" w:themeColor="text1"/>
          <w:kern w:val="24"/>
          <w:lang w:val="en-US"/>
        </w:rPr>
      </w:pPr>
      <w:r w:rsidRPr="00DD2595">
        <w:rPr>
          <w:rFonts w:asciiTheme="minorHAnsi" w:eastAsia="MS PGothic" w:hAnsiTheme="minorHAnsi" w:cstheme="minorBidi"/>
          <w:color w:val="000000" w:themeColor="text1"/>
          <w:kern w:val="24"/>
          <w:lang w:val="en-US"/>
        </w:rPr>
        <w:t xml:space="preserve">Participants considered the key opportunities to make progress to be </w:t>
      </w:r>
    </w:p>
    <w:p w:rsidR="00DD2595" w:rsidRPr="00DD2595" w:rsidRDefault="00DD2595" w:rsidP="00DD2595">
      <w:pPr>
        <w:pStyle w:val="ListParagraph"/>
        <w:numPr>
          <w:ilvl w:val="0"/>
          <w:numId w:val="15"/>
        </w:numPr>
        <w:rPr>
          <w:rFonts w:asciiTheme="minorHAnsi" w:hAnsiTheme="minorHAnsi"/>
          <w:b/>
        </w:rPr>
      </w:pPr>
      <w:r w:rsidRPr="00DD2595">
        <w:rPr>
          <w:rFonts w:asciiTheme="minorHAnsi" w:hAnsiTheme="minorHAnsi"/>
          <w:b/>
        </w:rPr>
        <w:t>Raising the profile of SDG4 in ITE</w:t>
      </w:r>
    </w:p>
    <w:p w:rsidR="00DD2595" w:rsidRPr="00DD2595" w:rsidRDefault="00DD2595" w:rsidP="00DD2595">
      <w:pPr>
        <w:pStyle w:val="ListParagraph"/>
        <w:numPr>
          <w:ilvl w:val="0"/>
          <w:numId w:val="15"/>
        </w:numPr>
        <w:rPr>
          <w:rFonts w:asciiTheme="minorHAnsi" w:hAnsiTheme="minorHAnsi"/>
          <w:b/>
        </w:rPr>
      </w:pPr>
      <w:r w:rsidRPr="00DD2595">
        <w:rPr>
          <w:rFonts w:asciiTheme="minorHAnsi" w:hAnsiTheme="minorHAnsi"/>
          <w:b/>
        </w:rPr>
        <w:t>Engaging a broader audience with approaches and language</w:t>
      </w:r>
    </w:p>
    <w:p w:rsidR="00DD2595" w:rsidRPr="00DD2595" w:rsidRDefault="00DD2595" w:rsidP="00DD2595">
      <w:pPr>
        <w:pStyle w:val="ListParagraph"/>
        <w:numPr>
          <w:ilvl w:val="0"/>
          <w:numId w:val="15"/>
        </w:numPr>
        <w:rPr>
          <w:rFonts w:asciiTheme="minorHAnsi" w:hAnsiTheme="minorHAnsi"/>
          <w:b/>
        </w:rPr>
      </w:pPr>
      <w:r w:rsidRPr="00DD2595">
        <w:rPr>
          <w:rFonts w:asciiTheme="minorHAnsi" w:hAnsiTheme="minorHAnsi"/>
          <w:b/>
        </w:rPr>
        <w:t>Developing a Framework for Supporting Educators</w:t>
      </w:r>
    </w:p>
    <w:p w:rsidR="00DD2595" w:rsidRPr="00DD2595" w:rsidRDefault="00DD2595" w:rsidP="00DD2595">
      <w:pPr>
        <w:pStyle w:val="ListParagraph"/>
        <w:numPr>
          <w:ilvl w:val="0"/>
          <w:numId w:val="15"/>
        </w:numPr>
        <w:rPr>
          <w:rFonts w:asciiTheme="minorHAnsi" w:hAnsiTheme="minorHAnsi"/>
          <w:b/>
        </w:rPr>
      </w:pPr>
      <w:r w:rsidRPr="00DD2595">
        <w:rPr>
          <w:rFonts w:asciiTheme="minorHAnsi" w:hAnsiTheme="minorHAnsi"/>
          <w:b/>
        </w:rPr>
        <w:t>Finding opportunities for collaboration and research</w:t>
      </w:r>
    </w:p>
    <w:p w:rsidR="0069699D" w:rsidRDefault="0069699D" w:rsidP="00F47F1D">
      <w:pPr>
        <w:pStyle w:val="NormalWeb"/>
        <w:kinsoku w:val="0"/>
        <w:overflowPunct w:val="0"/>
        <w:spacing w:before="0" w:beforeAutospacing="0" w:after="0" w:afterAutospacing="0"/>
        <w:textAlignment w:val="baseline"/>
        <w:rPr>
          <w:rFonts w:asciiTheme="minorHAnsi" w:eastAsia="MS PGothic" w:hAnsiTheme="minorHAnsi" w:cstheme="minorBidi"/>
          <w:color w:val="000000" w:themeColor="text1"/>
          <w:kern w:val="24"/>
          <w:lang w:val="en-US"/>
        </w:rPr>
      </w:pPr>
    </w:p>
    <w:p w:rsidR="00DD2595" w:rsidRPr="00DD2595" w:rsidRDefault="00DD2595" w:rsidP="00F47F1D">
      <w:pPr>
        <w:pStyle w:val="NormalWeb"/>
        <w:kinsoku w:val="0"/>
        <w:overflowPunct w:val="0"/>
        <w:spacing w:before="0" w:beforeAutospacing="0" w:after="0" w:afterAutospacing="0"/>
        <w:textAlignment w:val="baseline"/>
        <w:rPr>
          <w:rFonts w:asciiTheme="minorHAnsi" w:eastAsia="MS PGothic" w:hAnsiTheme="minorHAnsi" w:cstheme="minorBidi"/>
          <w:color w:val="000000" w:themeColor="text1"/>
          <w:kern w:val="24"/>
          <w:lang w:val="en-US"/>
        </w:rPr>
      </w:pPr>
      <w:r w:rsidRPr="00DD2595">
        <w:rPr>
          <w:rFonts w:asciiTheme="minorHAnsi" w:eastAsia="MS PGothic" w:hAnsiTheme="minorHAnsi" w:cstheme="minorBidi"/>
          <w:color w:val="000000" w:themeColor="text1"/>
          <w:kern w:val="24"/>
          <w:lang w:val="en-US"/>
        </w:rPr>
        <w:t xml:space="preserve">Brief notes </w:t>
      </w:r>
      <w:r>
        <w:rPr>
          <w:rFonts w:asciiTheme="minorHAnsi" w:eastAsia="MS PGothic" w:hAnsiTheme="minorHAnsi" w:cstheme="minorBidi"/>
          <w:color w:val="000000" w:themeColor="text1"/>
          <w:kern w:val="24"/>
          <w:lang w:val="en-US"/>
        </w:rPr>
        <w:t xml:space="preserve">of the discussions on these areas </w:t>
      </w:r>
      <w:r w:rsidRPr="00DD2595">
        <w:rPr>
          <w:rFonts w:asciiTheme="minorHAnsi" w:eastAsia="MS PGothic" w:hAnsiTheme="minorHAnsi" w:cstheme="minorBidi"/>
          <w:color w:val="000000" w:themeColor="text1"/>
          <w:kern w:val="24"/>
          <w:lang w:val="en-US"/>
        </w:rPr>
        <w:t>can be found in Appendix 5</w:t>
      </w:r>
    </w:p>
    <w:p w:rsidR="00683165" w:rsidRDefault="00683165">
      <w:pPr>
        <w:spacing w:before="0" w:after="160" w:line="259" w:lineRule="auto"/>
        <w:rPr>
          <w:rFonts w:asciiTheme="minorHAnsi" w:hAnsiTheme="minorHAnsi" w:cs="Calibri"/>
        </w:rPr>
      </w:pPr>
      <w:r>
        <w:rPr>
          <w:rFonts w:asciiTheme="minorHAnsi" w:hAnsiTheme="minorHAnsi" w:cs="Calibri"/>
        </w:rPr>
        <w:br w:type="page"/>
      </w:r>
    </w:p>
    <w:p w:rsidR="00F91EFB" w:rsidRPr="00F91EFB" w:rsidRDefault="00683165" w:rsidP="00F91EFB">
      <w:pPr>
        <w:pStyle w:val="IntenseQuote"/>
        <w:ind w:left="0" w:right="0"/>
        <w:rPr>
          <w:rFonts w:asciiTheme="minorHAnsi" w:hAnsiTheme="minorHAnsi"/>
          <w:i w:val="0"/>
          <w:color w:val="009999"/>
          <w:sz w:val="24"/>
          <w:szCs w:val="24"/>
        </w:rPr>
      </w:pPr>
      <w:r>
        <w:rPr>
          <w:rFonts w:asciiTheme="minorHAnsi" w:hAnsiTheme="minorHAnsi"/>
          <w:bCs w:val="0"/>
          <w:i w:val="0"/>
          <w:color w:val="009999"/>
          <w:sz w:val="24"/>
          <w:szCs w:val="24"/>
        </w:rPr>
        <w:lastRenderedPageBreak/>
        <w:t xml:space="preserve">APPENDIX 1 </w:t>
      </w:r>
      <w:r w:rsidR="00F91EFB" w:rsidRPr="00F91EFB">
        <w:rPr>
          <w:rFonts w:asciiTheme="minorHAnsi" w:hAnsiTheme="minorHAnsi"/>
          <w:bCs w:val="0"/>
          <w:i w:val="0"/>
          <w:color w:val="009999"/>
          <w:sz w:val="24"/>
          <w:szCs w:val="24"/>
        </w:rPr>
        <w:t>Seminar Programme</w:t>
      </w:r>
    </w:p>
    <w:p w:rsidR="000E1B6E" w:rsidRPr="001F53F4" w:rsidRDefault="00461040" w:rsidP="004746F5">
      <w:pPr>
        <w:spacing w:before="0"/>
        <w:rPr>
          <w:rFonts w:asciiTheme="minorHAnsi" w:hAnsiTheme="minorHAnsi"/>
          <w:b/>
        </w:rPr>
      </w:pPr>
      <w:r w:rsidRPr="001F53F4">
        <w:rPr>
          <w:rFonts w:asciiTheme="minorHAnsi" w:hAnsiTheme="minorHAnsi"/>
          <w:b/>
        </w:rPr>
        <w:t>10 -10.30</w:t>
      </w:r>
      <w:r w:rsidRPr="001F53F4">
        <w:rPr>
          <w:rFonts w:asciiTheme="minorHAnsi" w:hAnsiTheme="minorHAnsi"/>
          <w:b/>
        </w:rPr>
        <w:tab/>
      </w:r>
      <w:r w:rsidRPr="001F53F4">
        <w:rPr>
          <w:rFonts w:asciiTheme="minorHAnsi" w:hAnsiTheme="minorHAnsi"/>
          <w:b/>
        </w:rPr>
        <w:tab/>
        <w:t>Registration</w:t>
      </w:r>
    </w:p>
    <w:p w:rsidR="00F91EFB" w:rsidRPr="00F91EFB" w:rsidRDefault="00F91EFB" w:rsidP="004746F5">
      <w:pPr>
        <w:spacing w:before="0"/>
        <w:rPr>
          <w:rFonts w:asciiTheme="minorHAnsi" w:hAnsiTheme="minorHAnsi"/>
        </w:rPr>
      </w:pPr>
    </w:p>
    <w:p w:rsidR="00B438F0" w:rsidRPr="00F91EFB" w:rsidRDefault="00461040" w:rsidP="004746F5">
      <w:pPr>
        <w:spacing w:before="0"/>
        <w:rPr>
          <w:rFonts w:asciiTheme="minorHAnsi" w:hAnsiTheme="minorHAnsi"/>
          <w:b/>
        </w:rPr>
      </w:pPr>
      <w:r w:rsidRPr="00F91EFB">
        <w:rPr>
          <w:rFonts w:asciiTheme="minorHAnsi" w:hAnsiTheme="minorHAnsi"/>
        </w:rPr>
        <w:t>10.30</w:t>
      </w:r>
      <w:r w:rsidRPr="00F91EFB">
        <w:rPr>
          <w:rFonts w:asciiTheme="minorHAnsi" w:hAnsiTheme="minorHAnsi"/>
        </w:rPr>
        <w:tab/>
      </w:r>
      <w:r w:rsidRPr="00F91EFB">
        <w:rPr>
          <w:rFonts w:asciiTheme="minorHAnsi" w:hAnsiTheme="minorHAnsi"/>
        </w:rPr>
        <w:tab/>
      </w:r>
      <w:r w:rsidR="004746F5" w:rsidRPr="00F91EFB">
        <w:rPr>
          <w:rFonts w:asciiTheme="minorHAnsi" w:hAnsiTheme="minorHAnsi"/>
        </w:rPr>
        <w:tab/>
      </w:r>
      <w:r w:rsidR="004007FD" w:rsidRPr="00F91EFB">
        <w:rPr>
          <w:rFonts w:asciiTheme="minorHAnsi" w:hAnsiTheme="minorHAnsi"/>
          <w:b/>
        </w:rPr>
        <w:t>T</w:t>
      </w:r>
      <w:r w:rsidR="00B438F0" w:rsidRPr="00F91EFB">
        <w:rPr>
          <w:rFonts w:asciiTheme="minorHAnsi" w:hAnsiTheme="minorHAnsi"/>
          <w:b/>
        </w:rPr>
        <w:t xml:space="preserve">he Global </w:t>
      </w:r>
      <w:r w:rsidR="00FB7393" w:rsidRPr="00F91EFB">
        <w:rPr>
          <w:rFonts w:asciiTheme="minorHAnsi" w:hAnsiTheme="minorHAnsi"/>
          <w:b/>
        </w:rPr>
        <w:t xml:space="preserve">and local </w:t>
      </w:r>
      <w:r w:rsidR="00B438F0" w:rsidRPr="00F91EFB">
        <w:rPr>
          <w:rFonts w:asciiTheme="minorHAnsi" w:hAnsiTheme="minorHAnsi"/>
          <w:b/>
        </w:rPr>
        <w:t xml:space="preserve">Context for </w:t>
      </w:r>
      <w:r w:rsidR="00FB7393" w:rsidRPr="00F91EFB">
        <w:rPr>
          <w:rFonts w:asciiTheme="minorHAnsi" w:hAnsiTheme="minorHAnsi"/>
          <w:b/>
        </w:rPr>
        <w:t xml:space="preserve">ESD and GC </w:t>
      </w:r>
      <w:r w:rsidR="00B438F0" w:rsidRPr="00F91EFB">
        <w:rPr>
          <w:rFonts w:asciiTheme="minorHAnsi" w:hAnsiTheme="minorHAnsi"/>
          <w:b/>
        </w:rPr>
        <w:t>in ITE</w:t>
      </w:r>
    </w:p>
    <w:p w:rsidR="00B438F0" w:rsidRPr="00F91EFB" w:rsidRDefault="004007FD" w:rsidP="004007FD">
      <w:pPr>
        <w:spacing w:before="0"/>
        <w:ind w:left="2160"/>
        <w:rPr>
          <w:rFonts w:asciiTheme="minorHAnsi" w:hAnsiTheme="minorHAnsi"/>
        </w:rPr>
      </w:pPr>
      <w:r w:rsidRPr="00F91EFB">
        <w:rPr>
          <w:rFonts w:asciiTheme="minorHAnsi" w:hAnsiTheme="minorHAnsi"/>
        </w:rPr>
        <w:t>Prof. Pete Higgins,</w:t>
      </w:r>
      <w:r w:rsidR="00FB7393" w:rsidRPr="00F91EFB">
        <w:rPr>
          <w:rFonts w:asciiTheme="minorHAnsi" w:hAnsiTheme="minorHAnsi"/>
        </w:rPr>
        <w:t xml:space="preserve"> University of Edinburgh and Scotland’s representative on the </w:t>
      </w:r>
      <w:r w:rsidRPr="00F91EFB">
        <w:rPr>
          <w:rFonts w:asciiTheme="minorHAnsi" w:hAnsiTheme="minorHAnsi"/>
        </w:rPr>
        <w:t>UNESCO Re-orientating Teacher Education towards Sustainab</w:t>
      </w:r>
      <w:r w:rsidR="007144C6">
        <w:rPr>
          <w:rFonts w:asciiTheme="minorHAnsi" w:hAnsiTheme="minorHAnsi"/>
        </w:rPr>
        <w:t xml:space="preserve">le Development </w:t>
      </w:r>
      <w:r w:rsidRPr="00F91EFB">
        <w:rPr>
          <w:rFonts w:asciiTheme="minorHAnsi" w:hAnsiTheme="minorHAnsi"/>
        </w:rPr>
        <w:t>Network</w:t>
      </w:r>
    </w:p>
    <w:p w:rsidR="00F91EFB" w:rsidRPr="00F91EFB" w:rsidRDefault="00F91EFB" w:rsidP="00B438F0">
      <w:pPr>
        <w:spacing w:before="0"/>
        <w:ind w:left="1440" w:firstLine="720"/>
        <w:rPr>
          <w:rFonts w:asciiTheme="minorHAnsi" w:eastAsia="Calibri" w:hAnsiTheme="minorHAnsi" w:cs="Calibri"/>
          <w:b/>
        </w:rPr>
      </w:pPr>
    </w:p>
    <w:p w:rsidR="00461040" w:rsidRPr="00F91EFB" w:rsidRDefault="00461040" w:rsidP="00B438F0">
      <w:pPr>
        <w:spacing w:before="0"/>
        <w:ind w:left="1440" w:firstLine="720"/>
        <w:rPr>
          <w:rFonts w:asciiTheme="minorHAnsi" w:eastAsia="Calibri" w:hAnsiTheme="minorHAnsi" w:cs="Calibri"/>
        </w:rPr>
      </w:pPr>
      <w:r w:rsidRPr="00F91EFB">
        <w:rPr>
          <w:rFonts w:asciiTheme="minorHAnsi" w:eastAsia="Calibri" w:hAnsiTheme="minorHAnsi" w:cs="Calibri"/>
          <w:b/>
        </w:rPr>
        <w:t>Sharing progress</w:t>
      </w:r>
      <w:r w:rsidRPr="00F91EFB">
        <w:rPr>
          <w:rFonts w:asciiTheme="minorHAnsi" w:eastAsia="Calibri" w:hAnsiTheme="minorHAnsi" w:cs="Calibri"/>
        </w:rPr>
        <w:t xml:space="preserve"> on ESD/GC in ITE in all the UK regions</w:t>
      </w:r>
    </w:p>
    <w:p w:rsidR="004007FD" w:rsidRPr="00F91EFB" w:rsidRDefault="00461040" w:rsidP="004746F5">
      <w:pPr>
        <w:spacing w:before="0"/>
        <w:rPr>
          <w:rFonts w:asciiTheme="minorHAnsi" w:hAnsiTheme="minorHAnsi"/>
        </w:rPr>
      </w:pPr>
      <w:r w:rsidRPr="00F91EFB">
        <w:rPr>
          <w:rFonts w:asciiTheme="minorHAnsi" w:hAnsiTheme="minorHAnsi"/>
        </w:rPr>
        <w:tab/>
      </w:r>
      <w:r w:rsidRPr="00F91EFB">
        <w:rPr>
          <w:rFonts w:asciiTheme="minorHAnsi" w:hAnsiTheme="minorHAnsi"/>
        </w:rPr>
        <w:tab/>
      </w:r>
      <w:r w:rsidRPr="00F91EFB">
        <w:rPr>
          <w:rFonts w:asciiTheme="minorHAnsi" w:hAnsiTheme="minorHAnsi"/>
        </w:rPr>
        <w:tab/>
      </w:r>
      <w:r w:rsidR="004007FD" w:rsidRPr="00F91EFB">
        <w:rPr>
          <w:rFonts w:asciiTheme="minorHAnsi" w:hAnsiTheme="minorHAnsi"/>
        </w:rPr>
        <w:t xml:space="preserve">Findings of </w:t>
      </w:r>
      <w:r w:rsidR="00FB7393" w:rsidRPr="00F91EFB">
        <w:rPr>
          <w:rFonts w:asciiTheme="minorHAnsi" w:hAnsiTheme="minorHAnsi"/>
        </w:rPr>
        <w:t>TEESN</w:t>
      </w:r>
      <w:r w:rsidR="004007FD" w:rsidRPr="00F91EFB">
        <w:rPr>
          <w:rFonts w:asciiTheme="minorHAnsi" w:hAnsiTheme="minorHAnsi"/>
        </w:rPr>
        <w:t xml:space="preserve">et UK research </w:t>
      </w:r>
    </w:p>
    <w:p w:rsidR="00F91EFB" w:rsidRPr="00F91EFB" w:rsidRDefault="00F91EFB" w:rsidP="004007FD">
      <w:pPr>
        <w:spacing w:before="0"/>
        <w:ind w:left="1440" w:firstLine="720"/>
        <w:rPr>
          <w:rFonts w:asciiTheme="minorHAnsi" w:hAnsiTheme="minorHAnsi"/>
        </w:rPr>
      </w:pPr>
    </w:p>
    <w:p w:rsidR="00F91EFB" w:rsidRPr="001F53F4" w:rsidRDefault="004007FD" w:rsidP="001F53F4">
      <w:pPr>
        <w:spacing w:before="0"/>
        <w:ind w:left="1440" w:firstLine="720"/>
        <w:rPr>
          <w:rFonts w:asciiTheme="minorHAnsi" w:hAnsiTheme="minorHAnsi"/>
        </w:rPr>
      </w:pPr>
      <w:r w:rsidRPr="00F91EFB">
        <w:rPr>
          <w:rFonts w:asciiTheme="minorHAnsi" w:hAnsiTheme="minorHAnsi"/>
        </w:rPr>
        <w:t>G</w:t>
      </w:r>
      <w:r w:rsidR="00461040" w:rsidRPr="00F91EFB">
        <w:rPr>
          <w:rFonts w:asciiTheme="minorHAnsi" w:hAnsiTheme="minorHAnsi"/>
        </w:rPr>
        <w:t>roup discussion</w:t>
      </w:r>
      <w:r w:rsidRPr="00F91EFB">
        <w:rPr>
          <w:rFonts w:asciiTheme="minorHAnsi" w:hAnsiTheme="minorHAnsi"/>
        </w:rPr>
        <w:t>s and plenary</w:t>
      </w:r>
    </w:p>
    <w:p w:rsidR="00F91EFB" w:rsidRPr="00F91EFB" w:rsidRDefault="00461040" w:rsidP="004746F5">
      <w:pPr>
        <w:spacing w:before="0"/>
        <w:rPr>
          <w:rFonts w:asciiTheme="minorHAnsi" w:hAnsiTheme="minorHAnsi"/>
        </w:rPr>
      </w:pPr>
      <w:r w:rsidRPr="00F91EFB">
        <w:rPr>
          <w:rFonts w:asciiTheme="minorHAnsi" w:hAnsiTheme="minorHAnsi"/>
          <w:b/>
        </w:rPr>
        <w:t xml:space="preserve">12.30 </w:t>
      </w:r>
      <w:r w:rsidRPr="00F91EFB">
        <w:rPr>
          <w:rFonts w:asciiTheme="minorHAnsi" w:hAnsiTheme="minorHAnsi"/>
          <w:b/>
        </w:rPr>
        <w:tab/>
      </w:r>
      <w:r w:rsidRPr="00F91EFB">
        <w:rPr>
          <w:rFonts w:asciiTheme="minorHAnsi" w:hAnsiTheme="minorHAnsi"/>
          <w:b/>
        </w:rPr>
        <w:tab/>
      </w:r>
      <w:r w:rsidRPr="00F91EFB">
        <w:rPr>
          <w:rFonts w:asciiTheme="minorHAnsi" w:hAnsiTheme="minorHAnsi"/>
          <w:b/>
        </w:rPr>
        <w:tab/>
        <w:t>Lunch</w:t>
      </w:r>
    </w:p>
    <w:p w:rsidR="004007FD" w:rsidRPr="00F91EFB" w:rsidRDefault="00461040" w:rsidP="004746F5">
      <w:pPr>
        <w:spacing w:before="0"/>
        <w:rPr>
          <w:rFonts w:asciiTheme="minorHAnsi" w:hAnsiTheme="minorHAnsi"/>
          <w:b/>
        </w:rPr>
      </w:pPr>
      <w:r w:rsidRPr="00F91EFB">
        <w:rPr>
          <w:rFonts w:asciiTheme="minorHAnsi" w:hAnsiTheme="minorHAnsi"/>
        </w:rPr>
        <w:t>1.</w:t>
      </w:r>
      <w:r w:rsidR="00214385" w:rsidRPr="00F91EFB">
        <w:rPr>
          <w:rFonts w:asciiTheme="minorHAnsi" w:hAnsiTheme="minorHAnsi"/>
        </w:rPr>
        <w:t>30</w:t>
      </w:r>
      <w:r w:rsidRPr="00F91EFB">
        <w:rPr>
          <w:rFonts w:asciiTheme="minorHAnsi" w:hAnsiTheme="minorHAnsi"/>
        </w:rPr>
        <w:tab/>
      </w:r>
      <w:r w:rsidRPr="00F91EFB">
        <w:rPr>
          <w:rFonts w:asciiTheme="minorHAnsi" w:hAnsiTheme="minorHAnsi"/>
        </w:rPr>
        <w:tab/>
      </w:r>
      <w:r w:rsidRPr="00F91EFB">
        <w:rPr>
          <w:rFonts w:asciiTheme="minorHAnsi" w:hAnsiTheme="minorHAnsi"/>
        </w:rPr>
        <w:tab/>
      </w:r>
      <w:r w:rsidR="004007FD" w:rsidRPr="00F91EFB">
        <w:rPr>
          <w:rFonts w:asciiTheme="minorHAnsi" w:hAnsiTheme="minorHAnsi"/>
          <w:b/>
        </w:rPr>
        <w:t>UNESCO Report</w:t>
      </w:r>
      <w:r w:rsidR="00FB7393" w:rsidRPr="00F91EFB">
        <w:rPr>
          <w:rFonts w:asciiTheme="minorHAnsi" w:hAnsiTheme="minorHAnsi"/>
          <w:b/>
        </w:rPr>
        <w:t xml:space="preserve"> 201</w:t>
      </w:r>
      <w:r w:rsidR="00B4714D" w:rsidRPr="00F91EFB">
        <w:rPr>
          <w:rFonts w:asciiTheme="minorHAnsi" w:hAnsiTheme="minorHAnsi"/>
          <w:b/>
        </w:rPr>
        <w:t>7</w:t>
      </w:r>
      <w:r w:rsidR="004007FD" w:rsidRPr="00F91EFB">
        <w:rPr>
          <w:rFonts w:asciiTheme="minorHAnsi" w:hAnsiTheme="minorHAnsi"/>
          <w:b/>
        </w:rPr>
        <w:t xml:space="preserve"> : Teacher Education, ESD and GC</w:t>
      </w:r>
    </w:p>
    <w:p w:rsidR="004007FD" w:rsidRPr="00F91EFB" w:rsidRDefault="004007FD" w:rsidP="004007FD">
      <w:pPr>
        <w:spacing w:before="0"/>
        <w:ind w:left="2160"/>
        <w:rPr>
          <w:rFonts w:asciiTheme="minorHAnsi" w:hAnsiTheme="minorHAnsi"/>
        </w:rPr>
      </w:pPr>
      <w:r w:rsidRPr="00F91EFB">
        <w:rPr>
          <w:rFonts w:asciiTheme="minorHAnsi" w:hAnsiTheme="minorHAnsi"/>
        </w:rPr>
        <w:t xml:space="preserve">Dr Doug Bourn, </w:t>
      </w:r>
      <w:r w:rsidRPr="00F91EFB">
        <w:rPr>
          <w:rFonts w:asciiTheme="minorHAnsi" w:hAnsiTheme="minorHAnsi"/>
          <w:lang w:val="en-US"/>
        </w:rPr>
        <w:t xml:space="preserve">Director of Development Education Research Centre, UCL Institute of Education  </w:t>
      </w:r>
    </w:p>
    <w:p w:rsidR="00F91EFB" w:rsidRPr="00F91EFB" w:rsidRDefault="00F91EFB" w:rsidP="004007FD">
      <w:pPr>
        <w:spacing w:before="0"/>
        <w:ind w:left="1440" w:firstLine="720"/>
        <w:rPr>
          <w:rFonts w:asciiTheme="minorHAnsi" w:hAnsiTheme="minorHAnsi"/>
          <w:b/>
        </w:rPr>
      </w:pPr>
    </w:p>
    <w:p w:rsidR="00461040" w:rsidRPr="00F91EFB" w:rsidRDefault="00214385" w:rsidP="004007FD">
      <w:pPr>
        <w:spacing w:before="0"/>
        <w:ind w:left="1440" w:firstLine="720"/>
        <w:rPr>
          <w:rFonts w:asciiTheme="minorHAnsi" w:hAnsiTheme="minorHAnsi"/>
        </w:rPr>
      </w:pPr>
      <w:r w:rsidRPr="00F91EFB">
        <w:rPr>
          <w:rFonts w:asciiTheme="minorHAnsi" w:hAnsiTheme="minorHAnsi"/>
          <w:b/>
        </w:rPr>
        <w:t>Identifying Opportunities</w:t>
      </w:r>
      <w:r w:rsidR="00FB7393" w:rsidRPr="00F91EFB">
        <w:rPr>
          <w:rFonts w:asciiTheme="minorHAnsi" w:hAnsiTheme="minorHAnsi"/>
          <w:b/>
        </w:rPr>
        <w:t xml:space="preserve"> for Making Progress</w:t>
      </w:r>
    </w:p>
    <w:p w:rsidR="00461040" w:rsidRPr="00F91EFB" w:rsidRDefault="00461040" w:rsidP="004746F5">
      <w:pPr>
        <w:spacing w:before="0"/>
        <w:rPr>
          <w:rFonts w:asciiTheme="minorHAnsi" w:hAnsiTheme="minorHAnsi"/>
        </w:rPr>
      </w:pPr>
      <w:r w:rsidRPr="00F91EFB">
        <w:rPr>
          <w:rFonts w:asciiTheme="minorHAnsi" w:hAnsiTheme="minorHAnsi"/>
        </w:rPr>
        <w:tab/>
      </w:r>
      <w:r w:rsidRPr="00F91EFB">
        <w:rPr>
          <w:rFonts w:asciiTheme="minorHAnsi" w:hAnsiTheme="minorHAnsi"/>
        </w:rPr>
        <w:tab/>
      </w:r>
      <w:r w:rsidR="00FB7393" w:rsidRPr="00F91EFB">
        <w:rPr>
          <w:rFonts w:asciiTheme="minorHAnsi" w:hAnsiTheme="minorHAnsi"/>
        </w:rPr>
        <w:tab/>
      </w:r>
      <w:r w:rsidR="00214385" w:rsidRPr="00F91EFB">
        <w:rPr>
          <w:rFonts w:asciiTheme="minorHAnsi" w:hAnsiTheme="minorHAnsi"/>
        </w:rPr>
        <w:t xml:space="preserve">Small group discussions </w:t>
      </w:r>
    </w:p>
    <w:p w:rsidR="00461040" w:rsidRPr="00F91EFB" w:rsidRDefault="00461040" w:rsidP="004746F5">
      <w:pPr>
        <w:spacing w:before="0"/>
        <w:rPr>
          <w:rFonts w:asciiTheme="minorHAnsi" w:hAnsiTheme="minorHAnsi"/>
        </w:rPr>
      </w:pPr>
      <w:r w:rsidRPr="00F91EFB">
        <w:rPr>
          <w:rFonts w:asciiTheme="minorHAnsi" w:hAnsiTheme="minorHAnsi"/>
        </w:rPr>
        <w:tab/>
      </w:r>
      <w:r w:rsidRPr="00F91EFB">
        <w:rPr>
          <w:rFonts w:asciiTheme="minorHAnsi" w:hAnsiTheme="minorHAnsi"/>
        </w:rPr>
        <w:tab/>
      </w:r>
      <w:r w:rsidRPr="00F91EFB">
        <w:rPr>
          <w:rFonts w:asciiTheme="minorHAnsi" w:hAnsiTheme="minorHAnsi"/>
        </w:rPr>
        <w:tab/>
      </w:r>
      <w:r w:rsidR="00214385" w:rsidRPr="00F91EFB">
        <w:rPr>
          <w:rFonts w:asciiTheme="minorHAnsi" w:hAnsiTheme="minorHAnsi"/>
        </w:rPr>
        <w:t>Plenary</w:t>
      </w:r>
    </w:p>
    <w:p w:rsidR="00F91EFB" w:rsidRPr="00F91EFB" w:rsidRDefault="00F91EFB" w:rsidP="00FB7393">
      <w:pPr>
        <w:spacing w:before="0"/>
        <w:rPr>
          <w:rFonts w:asciiTheme="minorHAnsi" w:hAnsiTheme="minorHAnsi"/>
        </w:rPr>
      </w:pPr>
    </w:p>
    <w:p w:rsidR="004746F5" w:rsidRDefault="00214385" w:rsidP="00FB7393">
      <w:pPr>
        <w:spacing w:before="0"/>
        <w:rPr>
          <w:rFonts w:asciiTheme="minorHAnsi" w:hAnsiTheme="minorHAnsi"/>
          <w:b/>
        </w:rPr>
      </w:pPr>
      <w:r w:rsidRPr="001F53F4">
        <w:rPr>
          <w:rFonts w:asciiTheme="minorHAnsi" w:hAnsiTheme="minorHAnsi"/>
          <w:b/>
        </w:rPr>
        <w:t>3.30</w:t>
      </w:r>
      <w:r w:rsidRPr="001F53F4">
        <w:rPr>
          <w:rFonts w:asciiTheme="minorHAnsi" w:hAnsiTheme="minorHAnsi"/>
          <w:b/>
        </w:rPr>
        <w:tab/>
      </w:r>
      <w:r w:rsidRPr="001F53F4">
        <w:rPr>
          <w:rFonts w:asciiTheme="minorHAnsi" w:hAnsiTheme="minorHAnsi"/>
          <w:b/>
        </w:rPr>
        <w:tab/>
      </w:r>
      <w:r w:rsidRPr="001F53F4">
        <w:rPr>
          <w:rFonts w:asciiTheme="minorHAnsi" w:hAnsiTheme="minorHAnsi"/>
          <w:b/>
        </w:rPr>
        <w:tab/>
        <w:t>ENDS</w:t>
      </w:r>
    </w:p>
    <w:p w:rsidR="00683165" w:rsidRDefault="00683165" w:rsidP="00FB7393">
      <w:pPr>
        <w:spacing w:before="0"/>
        <w:rPr>
          <w:rFonts w:asciiTheme="minorHAnsi" w:hAnsiTheme="minorHAnsi"/>
          <w:b/>
        </w:rPr>
      </w:pPr>
    </w:p>
    <w:p w:rsidR="00683165" w:rsidRPr="00F91EFB" w:rsidRDefault="00683165" w:rsidP="00683165">
      <w:pPr>
        <w:pStyle w:val="IntenseQuote"/>
        <w:ind w:left="0" w:right="0"/>
        <w:rPr>
          <w:rFonts w:asciiTheme="minorHAnsi" w:hAnsiTheme="minorHAnsi"/>
          <w:i w:val="0"/>
          <w:color w:val="009999"/>
          <w:sz w:val="24"/>
          <w:szCs w:val="24"/>
        </w:rPr>
      </w:pPr>
      <w:r>
        <w:rPr>
          <w:rFonts w:asciiTheme="minorHAnsi" w:hAnsiTheme="minorHAnsi"/>
          <w:bCs w:val="0"/>
          <w:i w:val="0"/>
          <w:color w:val="009999"/>
          <w:sz w:val="24"/>
          <w:szCs w:val="24"/>
        </w:rPr>
        <w:t xml:space="preserve">APPENDIX 2 </w:t>
      </w:r>
      <w:r w:rsidRPr="00F91EFB">
        <w:rPr>
          <w:rFonts w:asciiTheme="minorHAnsi" w:hAnsiTheme="minorHAnsi"/>
          <w:bCs w:val="0"/>
          <w:i w:val="0"/>
          <w:color w:val="009999"/>
          <w:sz w:val="24"/>
          <w:szCs w:val="24"/>
        </w:rPr>
        <w:t>Seminar P</w:t>
      </w:r>
      <w:r>
        <w:rPr>
          <w:rFonts w:asciiTheme="minorHAnsi" w:hAnsiTheme="minorHAnsi"/>
          <w:bCs w:val="0"/>
          <w:i w:val="0"/>
          <w:color w:val="009999"/>
          <w:sz w:val="24"/>
          <w:szCs w:val="24"/>
        </w:rPr>
        <w:t>articipants</w:t>
      </w:r>
    </w:p>
    <w:p w:rsidR="00683165" w:rsidRPr="00683165" w:rsidRDefault="00683165" w:rsidP="00683165">
      <w:pPr>
        <w:spacing w:before="0"/>
        <w:rPr>
          <w:rFonts w:asciiTheme="minorHAnsi" w:hAnsiTheme="minorHAnsi"/>
        </w:rPr>
      </w:pPr>
      <w:r w:rsidRPr="00683165">
        <w:rPr>
          <w:rFonts w:asciiTheme="minorHAnsi" w:hAnsiTheme="minorHAnsi"/>
        </w:rPr>
        <w:t>Aiydh Aljeddani</w:t>
      </w:r>
      <w:r w:rsidRPr="00683165">
        <w:rPr>
          <w:rFonts w:asciiTheme="minorHAnsi" w:hAnsiTheme="minorHAnsi"/>
        </w:rPr>
        <w:tab/>
      </w:r>
      <w:r w:rsidRPr="00683165">
        <w:rPr>
          <w:rFonts w:asciiTheme="minorHAnsi" w:hAnsiTheme="minorHAnsi"/>
        </w:rPr>
        <w:tab/>
        <w:t>University of Exeter</w:t>
      </w:r>
    </w:p>
    <w:p w:rsidR="00683165" w:rsidRPr="00683165" w:rsidRDefault="00683165" w:rsidP="00683165">
      <w:pPr>
        <w:spacing w:before="0"/>
        <w:rPr>
          <w:rFonts w:asciiTheme="minorHAnsi" w:hAnsiTheme="minorHAnsi"/>
        </w:rPr>
      </w:pPr>
      <w:r w:rsidRPr="00683165">
        <w:rPr>
          <w:rFonts w:asciiTheme="minorHAnsi" w:hAnsiTheme="minorHAnsi"/>
        </w:rPr>
        <w:t>Clive Belgeonne</w:t>
      </w:r>
      <w:r w:rsidRPr="00683165">
        <w:rPr>
          <w:rFonts w:asciiTheme="minorHAnsi" w:hAnsiTheme="minorHAnsi"/>
        </w:rPr>
        <w:tab/>
      </w:r>
      <w:r w:rsidRPr="00683165">
        <w:rPr>
          <w:rFonts w:asciiTheme="minorHAnsi" w:hAnsiTheme="minorHAnsi"/>
        </w:rPr>
        <w:tab/>
        <w:t>Sheffield Hallam University</w:t>
      </w:r>
    </w:p>
    <w:p w:rsidR="00683165" w:rsidRPr="00683165" w:rsidRDefault="00683165" w:rsidP="00683165">
      <w:pPr>
        <w:spacing w:before="0"/>
        <w:rPr>
          <w:rFonts w:asciiTheme="minorHAnsi" w:hAnsiTheme="minorHAnsi"/>
        </w:rPr>
      </w:pPr>
      <w:r w:rsidRPr="00683165">
        <w:rPr>
          <w:rFonts w:asciiTheme="minorHAnsi" w:hAnsiTheme="minorHAnsi"/>
        </w:rPr>
        <w:t>Doug Bourn</w:t>
      </w:r>
      <w:r w:rsidRPr="00683165">
        <w:rPr>
          <w:rFonts w:asciiTheme="minorHAnsi" w:hAnsiTheme="minorHAnsi"/>
        </w:rPr>
        <w:tab/>
      </w:r>
      <w:r w:rsidRPr="00683165">
        <w:rPr>
          <w:rFonts w:asciiTheme="minorHAnsi" w:hAnsiTheme="minorHAnsi"/>
        </w:rPr>
        <w:tab/>
      </w:r>
      <w:r w:rsidRPr="00683165">
        <w:rPr>
          <w:rFonts w:asciiTheme="minorHAnsi" w:hAnsiTheme="minorHAnsi"/>
        </w:rPr>
        <w:tab/>
        <w:t>Development Education Research Centre</w:t>
      </w:r>
    </w:p>
    <w:p w:rsidR="00683165" w:rsidRPr="00683165" w:rsidRDefault="00683165" w:rsidP="00683165">
      <w:pPr>
        <w:spacing w:before="0"/>
        <w:rPr>
          <w:rFonts w:asciiTheme="minorHAnsi" w:hAnsiTheme="minorHAnsi"/>
        </w:rPr>
      </w:pPr>
      <w:r w:rsidRPr="00683165">
        <w:rPr>
          <w:rFonts w:asciiTheme="minorHAnsi" w:hAnsiTheme="minorHAnsi"/>
        </w:rPr>
        <w:t>Andrea Bullivant</w:t>
      </w:r>
      <w:r w:rsidRPr="00683165">
        <w:rPr>
          <w:rFonts w:asciiTheme="minorHAnsi" w:hAnsiTheme="minorHAnsi"/>
        </w:rPr>
        <w:tab/>
      </w:r>
      <w:r w:rsidRPr="00683165">
        <w:rPr>
          <w:rFonts w:asciiTheme="minorHAnsi" w:hAnsiTheme="minorHAnsi"/>
        </w:rPr>
        <w:tab/>
        <w:t>TEESNet</w:t>
      </w:r>
    </w:p>
    <w:p w:rsidR="00683165" w:rsidRPr="00683165" w:rsidRDefault="00683165" w:rsidP="00683165">
      <w:pPr>
        <w:spacing w:before="0"/>
        <w:rPr>
          <w:rFonts w:asciiTheme="minorHAnsi" w:hAnsiTheme="minorHAnsi"/>
        </w:rPr>
      </w:pPr>
      <w:r w:rsidRPr="00683165">
        <w:rPr>
          <w:rFonts w:asciiTheme="minorHAnsi" w:hAnsiTheme="minorHAnsi"/>
        </w:rPr>
        <w:t>Donald-Gray</w:t>
      </w:r>
      <w:r w:rsidRPr="00683165">
        <w:rPr>
          <w:rFonts w:asciiTheme="minorHAnsi" w:hAnsiTheme="minorHAnsi"/>
        </w:rPr>
        <w:tab/>
      </w:r>
      <w:r w:rsidRPr="00683165">
        <w:rPr>
          <w:rFonts w:asciiTheme="minorHAnsi" w:hAnsiTheme="minorHAnsi"/>
        </w:rPr>
        <w:tab/>
      </w:r>
      <w:r w:rsidRPr="00683165">
        <w:rPr>
          <w:rFonts w:asciiTheme="minorHAnsi" w:hAnsiTheme="minorHAnsi"/>
        </w:rPr>
        <w:tab/>
        <w:t>University of Aberdeen</w:t>
      </w:r>
    </w:p>
    <w:p w:rsidR="00683165" w:rsidRPr="00683165" w:rsidRDefault="00683165" w:rsidP="00683165">
      <w:pPr>
        <w:spacing w:before="0"/>
        <w:rPr>
          <w:rFonts w:asciiTheme="minorHAnsi" w:hAnsiTheme="minorHAnsi"/>
        </w:rPr>
      </w:pPr>
      <w:r w:rsidRPr="00683165">
        <w:rPr>
          <w:rFonts w:asciiTheme="minorHAnsi" w:hAnsiTheme="minorHAnsi"/>
        </w:rPr>
        <w:t>Justin</w:t>
      </w:r>
      <w:r w:rsidRPr="00683165">
        <w:rPr>
          <w:rFonts w:asciiTheme="minorHAnsi" w:hAnsiTheme="minorHAnsi"/>
        </w:rPr>
        <w:tab/>
        <w:t>Dillon</w:t>
      </w:r>
      <w:r w:rsidRPr="00683165">
        <w:rPr>
          <w:rFonts w:asciiTheme="minorHAnsi" w:hAnsiTheme="minorHAnsi"/>
        </w:rPr>
        <w:tab/>
      </w:r>
      <w:r w:rsidRPr="00683165">
        <w:rPr>
          <w:rFonts w:asciiTheme="minorHAnsi" w:hAnsiTheme="minorHAnsi"/>
        </w:rPr>
        <w:tab/>
      </w:r>
      <w:r w:rsidRPr="00683165">
        <w:rPr>
          <w:rFonts w:asciiTheme="minorHAnsi" w:hAnsiTheme="minorHAnsi"/>
        </w:rPr>
        <w:tab/>
        <w:t>University of Bristol</w:t>
      </w:r>
    </w:p>
    <w:p w:rsidR="00683165" w:rsidRPr="00683165" w:rsidRDefault="00683165" w:rsidP="00683165">
      <w:pPr>
        <w:spacing w:before="0"/>
        <w:rPr>
          <w:rFonts w:asciiTheme="minorHAnsi" w:hAnsiTheme="minorHAnsi"/>
        </w:rPr>
      </w:pPr>
      <w:r w:rsidRPr="00683165">
        <w:rPr>
          <w:rFonts w:asciiTheme="minorHAnsi" w:hAnsiTheme="minorHAnsi"/>
        </w:rPr>
        <w:t>Ellen</w:t>
      </w:r>
      <w:r w:rsidRPr="00683165">
        <w:rPr>
          <w:rFonts w:asciiTheme="minorHAnsi" w:hAnsiTheme="minorHAnsi"/>
        </w:rPr>
        <w:tab/>
        <w:t>Doherty</w:t>
      </w:r>
      <w:r w:rsidRPr="00683165">
        <w:rPr>
          <w:rFonts w:asciiTheme="minorHAnsi" w:hAnsiTheme="minorHAnsi"/>
        </w:rPr>
        <w:tab/>
      </w:r>
      <w:r w:rsidRPr="00683165">
        <w:rPr>
          <w:rFonts w:asciiTheme="minorHAnsi" w:hAnsiTheme="minorHAnsi"/>
        </w:rPr>
        <w:tab/>
        <w:t>The General Teaching Council for Scotland</w:t>
      </w:r>
    </w:p>
    <w:p w:rsidR="00683165" w:rsidRPr="00683165" w:rsidRDefault="00683165" w:rsidP="00683165">
      <w:pPr>
        <w:spacing w:before="0"/>
        <w:rPr>
          <w:rFonts w:asciiTheme="minorHAnsi" w:hAnsiTheme="minorHAnsi"/>
        </w:rPr>
      </w:pPr>
      <w:r w:rsidRPr="00683165">
        <w:rPr>
          <w:rFonts w:asciiTheme="minorHAnsi" w:hAnsiTheme="minorHAnsi"/>
        </w:rPr>
        <w:t>Ria</w:t>
      </w:r>
      <w:r w:rsidRPr="00683165">
        <w:rPr>
          <w:rFonts w:asciiTheme="minorHAnsi" w:hAnsiTheme="minorHAnsi"/>
        </w:rPr>
        <w:tab/>
        <w:t>Dunkley</w:t>
      </w:r>
      <w:r w:rsidRPr="00683165">
        <w:rPr>
          <w:rFonts w:asciiTheme="minorHAnsi" w:hAnsiTheme="minorHAnsi"/>
        </w:rPr>
        <w:tab/>
      </w:r>
      <w:r w:rsidRPr="00683165">
        <w:rPr>
          <w:rFonts w:asciiTheme="minorHAnsi" w:hAnsiTheme="minorHAnsi"/>
        </w:rPr>
        <w:tab/>
        <w:t>University of Glasgow/ formerly University of Cardiff</w:t>
      </w:r>
    </w:p>
    <w:p w:rsidR="00683165" w:rsidRPr="00683165" w:rsidRDefault="00683165" w:rsidP="00683165">
      <w:pPr>
        <w:spacing w:before="0"/>
        <w:rPr>
          <w:rFonts w:asciiTheme="minorHAnsi" w:hAnsiTheme="minorHAnsi"/>
        </w:rPr>
      </w:pPr>
      <w:r w:rsidRPr="00683165">
        <w:rPr>
          <w:rFonts w:asciiTheme="minorHAnsi" w:hAnsiTheme="minorHAnsi"/>
        </w:rPr>
        <w:t>Anna</w:t>
      </w:r>
      <w:r w:rsidRPr="00683165">
        <w:rPr>
          <w:rFonts w:asciiTheme="minorHAnsi" w:hAnsiTheme="minorHAnsi"/>
        </w:rPr>
        <w:tab/>
        <w:t>Grindle</w:t>
      </w:r>
      <w:r w:rsidRPr="00683165">
        <w:rPr>
          <w:rFonts w:asciiTheme="minorHAnsi" w:hAnsiTheme="minorHAnsi"/>
        </w:rPr>
        <w:tab/>
      </w:r>
      <w:r w:rsidRPr="00683165">
        <w:rPr>
          <w:rFonts w:asciiTheme="minorHAnsi" w:hAnsiTheme="minorHAnsi"/>
        </w:rPr>
        <w:tab/>
      </w:r>
      <w:r>
        <w:rPr>
          <w:rFonts w:asciiTheme="minorHAnsi" w:hAnsiTheme="minorHAnsi"/>
        </w:rPr>
        <w:tab/>
      </w:r>
      <w:r w:rsidRPr="00683165">
        <w:rPr>
          <w:rFonts w:asciiTheme="minorHAnsi" w:hAnsiTheme="minorHAnsi"/>
        </w:rPr>
        <w:t>Global Learning Programme (Northern Ireland)</w:t>
      </w:r>
    </w:p>
    <w:p w:rsidR="00683165" w:rsidRPr="00683165" w:rsidRDefault="00683165" w:rsidP="00683165">
      <w:pPr>
        <w:spacing w:before="0"/>
        <w:rPr>
          <w:rFonts w:asciiTheme="minorHAnsi" w:hAnsiTheme="minorHAnsi"/>
        </w:rPr>
      </w:pPr>
      <w:r w:rsidRPr="00683165">
        <w:rPr>
          <w:rFonts w:asciiTheme="minorHAnsi" w:hAnsiTheme="minorHAnsi"/>
        </w:rPr>
        <w:t>Peter</w:t>
      </w:r>
      <w:r w:rsidRPr="00683165">
        <w:rPr>
          <w:rFonts w:asciiTheme="minorHAnsi" w:hAnsiTheme="minorHAnsi"/>
        </w:rPr>
        <w:tab/>
        <w:t>Higgins</w:t>
      </w:r>
      <w:r w:rsidRPr="00683165">
        <w:rPr>
          <w:rFonts w:asciiTheme="minorHAnsi" w:hAnsiTheme="minorHAnsi"/>
        </w:rPr>
        <w:tab/>
      </w:r>
      <w:r w:rsidRPr="00683165">
        <w:rPr>
          <w:rFonts w:asciiTheme="minorHAnsi" w:hAnsiTheme="minorHAnsi"/>
        </w:rPr>
        <w:tab/>
      </w:r>
      <w:r>
        <w:rPr>
          <w:rFonts w:asciiTheme="minorHAnsi" w:hAnsiTheme="minorHAnsi"/>
        </w:rPr>
        <w:tab/>
      </w:r>
      <w:r w:rsidRPr="00683165">
        <w:rPr>
          <w:rFonts w:asciiTheme="minorHAnsi" w:hAnsiTheme="minorHAnsi"/>
        </w:rPr>
        <w:t>University of Edinburgh</w:t>
      </w:r>
    </w:p>
    <w:p w:rsidR="00683165" w:rsidRPr="00683165" w:rsidRDefault="00683165" w:rsidP="00683165">
      <w:pPr>
        <w:spacing w:before="0"/>
        <w:rPr>
          <w:rFonts w:asciiTheme="minorHAnsi" w:hAnsiTheme="minorHAnsi"/>
        </w:rPr>
      </w:pPr>
      <w:r w:rsidRPr="00683165">
        <w:rPr>
          <w:rFonts w:asciiTheme="minorHAnsi" w:hAnsiTheme="minorHAnsi"/>
        </w:rPr>
        <w:t>Ronald</w:t>
      </w:r>
      <w:r w:rsidRPr="00683165">
        <w:rPr>
          <w:rFonts w:asciiTheme="minorHAnsi" w:hAnsiTheme="minorHAnsi"/>
        </w:rPr>
        <w:tab/>
        <w:t>Johnston</w:t>
      </w:r>
      <w:r w:rsidRPr="00683165">
        <w:rPr>
          <w:rFonts w:asciiTheme="minorHAnsi" w:hAnsiTheme="minorHAnsi"/>
        </w:rPr>
        <w:tab/>
      </w:r>
      <w:r w:rsidRPr="00683165">
        <w:rPr>
          <w:rFonts w:asciiTheme="minorHAnsi" w:hAnsiTheme="minorHAnsi"/>
        </w:rPr>
        <w:tab/>
        <w:t>MGIEP/ UNESCO</w:t>
      </w:r>
    </w:p>
    <w:p w:rsidR="00683165" w:rsidRPr="00683165" w:rsidRDefault="00683165" w:rsidP="00683165">
      <w:pPr>
        <w:spacing w:before="0"/>
        <w:rPr>
          <w:rFonts w:asciiTheme="minorHAnsi" w:hAnsiTheme="minorHAnsi"/>
        </w:rPr>
      </w:pPr>
      <w:r w:rsidRPr="00683165">
        <w:rPr>
          <w:rFonts w:asciiTheme="minorHAnsi" w:hAnsiTheme="minorHAnsi"/>
        </w:rPr>
        <w:t>Elena</w:t>
      </w:r>
      <w:r w:rsidRPr="00683165">
        <w:rPr>
          <w:rFonts w:asciiTheme="minorHAnsi" w:hAnsiTheme="minorHAnsi"/>
        </w:rPr>
        <w:tab/>
        <w:t>Lengthorn</w:t>
      </w:r>
      <w:r w:rsidRPr="00683165">
        <w:rPr>
          <w:rFonts w:asciiTheme="minorHAnsi" w:hAnsiTheme="minorHAnsi"/>
        </w:rPr>
        <w:tab/>
      </w:r>
      <w:r w:rsidRPr="00683165">
        <w:rPr>
          <w:rFonts w:asciiTheme="minorHAnsi" w:hAnsiTheme="minorHAnsi"/>
        </w:rPr>
        <w:tab/>
        <w:t>University of Worcester</w:t>
      </w:r>
    </w:p>
    <w:p w:rsidR="00683165" w:rsidRPr="00683165" w:rsidRDefault="00683165" w:rsidP="00683165">
      <w:pPr>
        <w:spacing w:before="0"/>
        <w:rPr>
          <w:rFonts w:asciiTheme="minorHAnsi" w:hAnsiTheme="minorHAnsi"/>
        </w:rPr>
      </w:pPr>
      <w:r w:rsidRPr="00683165">
        <w:rPr>
          <w:rFonts w:asciiTheme="minorHAnsi" w:hAnsiTheme="minorHAnsi"/>
        </w:rPr>
        <w:t>Clare</w:t>
      </w:r>
      <w:r w:rsidRPr="00683165">
        <w:rPr>
          <w:rFonts w:asciiTheme="minorHAnsi" w:hAnsiTheme="minorHAnsi"/>
        </w:rPr>
        <w:tab/>
        <w:t>McAlister</w:t>
      </w:r>
      <w:r w:rsidRPr="00683165">
        <w:rPr>
          <w:rFonts w:asciiTheme="minorHAnsi" w:hAnsiTheme="minorHAnsi"/>
        </w:rPr>
        <w:tab/>
      </w:r>
      <w:r w:rsidRPr="00683165">
        <w:rPr>
          <w:rFonts w:asciiTheme="minorHAnsi" w:hAnsiTheme="minorHAnsi"/>
        </w:rPr>
        <w:tab/>
        <w:t>University of Strathclyde</w:t>
      </w:r>
    </w:p>
    <w:p w:rsidR="00683165" w:rsidRPr="00683165" w:rsidRDefault="00683165" w:rsidP="00683165">
      <w:pPr>
        <w:spacing w:before="0"/>
        <w:rPr>
          <w:rFonts w:asciiTheme="minorHAnsi" w:hAnsiTheme="minorHAnsi"/>
        </w:rPr>
      </w:pPr>
      <w:r w:rsidRPr="00683165">
        <w:rPr>
          <w:rFonts w:asciiTheme="minorHAnsi" w:hAnsiTheme="minorHAnsi"/>
        </w:rPr>
        <w:t>Gerard</w:t>
      </w:r>
      <w:r w:rsidRPr="00683165">
        <w:rPr>
          <w:rFonts w:asciiTheme="minorHAnsi" w:hAnsiTheme="minorHAnsi"/>
        </w:rPr>
        <w:tab/>
        <w:t>McCann</w:t>
      </w:r>
      <w:r w:rsidRPr="00683165">
        <w:rPr>
          <w:rFonts w:asciiTheme="minorHAnsi" w:hAnsiTheme="minorHAnsi"/>
        </w:rPr>
        <w:tab/>
      </w:r>
      <w:r w:rsidRPr="00683165">
        <w:rPr>
          <w:rFonts w:asciiTheme="minorHAnsi" w:hAnsiTheme="minorHAnsi"/>
        </w:rPr>
        <w:tab/>
        <w:t>St Mary's University College, Belfast</w:t>
      </w:r>
    </w:p>
    <w:p w:rsidR="00683165" w:rsidRPr="00683165" w:rsidRDefault="00683165" w:rsidP="00683165">
      <w:pPr>
        <w:spacing w:before="0"/>
        <w:rPr>
          <w:rFonts w:asciiTheme="minorHAnsi" w:hAnsiTheme="minorHAnsi"/>
        </w:rPr>
      </w:pPr>
      <w:r w:rsidRPr="00683165">
        <w:rPr>
          <w:rFonts w:asciiTheme="minorHAnsi" w:hAnsiTheme="minorHAnsi"/>
        </w:rPr>
        <w:t>Steve</w:t>
      </w:r>
      <w:r w:rsidRPr="00683165">
        <w:rPr>
          <w:rFonts w:asciiTheme="minorHAnsi" w:hAnsiTheme="minorHAnsi"/>
        </w:rPr>
        <w:tab/>
        <w:t>Rawlinson</w:t>
      </w:r>
      <w:r w:rsidRPr="00683165">
        <w:rPr>
          <w:rFonts w:asciiTheme="minorHAnsi" w:hAnsiTheme="minorHAnsi"/>
        </w:rPr>
        <w:tab/>
      </w:r>
      <w:r w:rsidRPr="00683165">
        <w:rPr>
          <w:rFonts w:asciiTheme="minorHAnsi" w:hAnsiTheme="minorHAnsi"/>
        </w:rPr>
        <w:tab/>
        <w:t>Geographical Association</w:t>
      </w:r>
    </w:p>
    <w:p w:rsidR="00683165" w:rsidRPr="00683165" w:rsidRDefault="007E7761" w:rsidP="00683165">
      <w:pPr>
        <w:spacing w:before="0"/>
        <w:rPr>
          <w:rFonts w:asciiTheme="minorHAnsi" w:hAnsiTheme="minorHAnsi"/>
        </w:rPr>
      </w:pPr>
      <w:r>
        <w:rPr>
          <w:rFonts w:asciiTheme="minorHAnsi" w:hAnsiTheme="minorHAnsi"/>
        </w:rPr>
        <w:t xml:space="preserve">M Mahruf C </w:t>
      </w:r>
      <w:r w:rsidR="00683165" w:rsidRPr="00683165">
        <w:rPr>
          <w:rFonts w:asciiTheme="minorHAnsi" w:hAnsiTheme="minorHAnsi"/>
        </w:rPr>
        <w:t>Shohel</w:t>
      </w:r>
      <w:r w:rsidR="00683165" w:rsidRPr="00683165">
        <w:rPr>
          <w:rFonts w:asciiTheme="minorHAnsi" w:hAnsiTheme="minorHAnsi"/>
        </w:rPr>
        <w:tab/>
      </w:r>
      <w:r w:rsidR="00683165" w:rsidRPr="00683165">
        <w:rPr>
          <w:rFonts w:asciiTheme="minorHAnsi" w:hAnsiTheme="minorHAnsi"/>
        </w:rPr>
        <w:tab/>
        <w:t>Aberystwyth University</w:t>
      </w:r>
    </w:p>
    <w:p w:rsidR="00683165" w:rsidRPr="00683165" w:rsidRDefault="007E7761" w:rsidP="00683165">
      <w:pPr>
        <w:spacing w:before="0"/>
        <w:rPr>
          <w:rFonts w:asciiTheme="minorHAnsi" w:hAnsiTheme="minorHAnsi"/>
        </w:rPr>
      </w:pPr>
      <w:r>
        <w:rPr>
          <w:rFonts w:asciiTheme="minorHAnsi" w:hAnsiTheme="minorHAnsi"/>
        </w:rPr>
        <w:t xml:space="preserve">Ivor </w:t>
      </w:r>
      <w:r w:rsidR="00683165" w:rsidRPr="00683165">
        <w:rPr>
          <w:rFonts w:asciiTheme="minorHAnsi" w:hAnsiTheme="minorHAnsi"/>
        </w:rPr>
        <w:t>Sutherland</w:t>
      </w:r>
      <w:r w:rsidR="00683165" w:rsidRPr="00683165">
        <w:rPr>
          <w:rFonts w:asciiTheme="minorHAnsi" w:hAnsiTheme="minorHAnsi"/>
        </w:rPr>
        <w:tab/>
      </w:r>
      <w:r w:rsidR="00683165" w:rsidRPr="00683165">
        <w:rPr>
          <w:rFonts w:asciiTheme="minorHAnsi" w:hAnsiTheme="minorHAnsi"/>
        </w:rPr>
        <w:tab/>
        <w:t>The Gordon Cook Foundation</w:t>
      </w:r>
    </w:p>
    <w:p w:rsidR="00683165" w:rsidRPr="00683165" w:rsidRDefault="00683165" w:rsidP="00683165">
      <w:pPr>
        <w:spacing w:before="0"/>
        <w:rPr>
          <w:rFonts w:asciiTheme="minorHAnsi" w:hAnsiTheme="minorHAnsi"/>
        </w:rPr>
      </w:pPr>
      <w:r w:rsidRPr="00683165">
        <w:rPr>
          <w:rFonts w:asciiTheme="minorHAnsi" w:hAnsiTheme="minorHAnsi"/>
        </w:rPr>
        <w:t>Tanya</w:t>
      </w:r>
      <w:r w:rsidRPr="00683165">
        <w:rPr>
          <w:rFonts w:asciiTheme="minorHAnsi" w:hAnsiTheme="minorHAnsi"/>
        </w:rPr>
        <w:tab/>
        <w:t>Wisely</w:t>
      </w:r>
      <w:r w:rsidRPr="00683165">
        <w:rPr>
          <w:rFonts w:asciiTheme="minorHAnsi" w:hAnsiTheme="minorHAnsi"/>
        </w:rPr>
        <w:tab/>
      </w:r>
      <w:r w:rsidRPr="00683165">
        <w:rPr>
          <w:rFonts w:asciiTheme="minorHAnsi" w:hAnsiTheme="minorHAnsi"/>
        </w:rPr>
        <w:tab/>
      </w:r>
      <w:r w:rsidRPr="00683165">
        <w:rPr>
          <w:rFonts w:asciiTheme="minorHAnsi" w:hAnsiTheme="minorHAnsi"/>
        </w:rPr>
        <w:tab/>
        <w:t>International Development Education Association of Scotland (IDEAS)</w:t>
      </w:r>
    </w:p>
    <w:p w:rsidR="00683165" w:rsidRDefault="00683165" w:rsidP="00683165">
      <w:pPr>
        <w:spacing w:before="0"/>
        <w:rPr>
          <w:rFonts w:asciiTheme="minorHAnsi" w:hAnsiTheme="minorHAnsi"/>
        </w:rPr>
      </w:pPr>
      <w:r w:rsidRPr="00683165">
        <w:rPr>
          <w:rFonts w:asciiTheme="minorHAnsi" w:hAnsiTheme="minorHAnsi"/>
        </w:rPr>
        <w:t>Betsy</w:t>
      </w:r>
      <w:r w:rsidRPr="00683165">
        <w:rPr>
          <w:rFonts w:asciiTheme="minorHAnsi" w:hAnsiTheme="minorHAnsi"/>
        </w:rPr>
        <w:tab/>
        <w:t>King</w:t>
      </w:r>
      <w:r w:rsidRPr="00683165">
        <w:rPr>
          <w:rFonts w:asciiTheme="minorHAnsi" w:hAnsiTheme="minorHAnsi"/>
        </w:rPr>
        <w:tab/>
      </w:r>
      <w:r w:rsidRPr="00683165">
        <w:rPr>
          <w:rFonts w:asciiTheme="minorHAnsi" w:hAnsiTheme="minorHAnsi"/>
        </w:rPr>
        <w:tab/>
      </w:r>
      <w:r w:rsidRPr="00683165">
        <w:rPr>
          <w:rFonts w:asciiTheme="minorHAnsi" w:hAnsiTheme="minorHAnsi"/>
        </w:rPr>
        <w:tab/>
        <w:t>Learning for Sustainability Scotland</w:t>
      </w:r>
    </w:p>
    <w:p w:rsidR="00F500C7" w:rsidRDefault="00F500C7" w:rsidP="00683165">
      <w:pPr>
        <w:spacing w:before="0"/>
        <w:rPr>
          <w:rFonts w:asciiTheme="minorHAnsi" w:hAnsiTheme="minorHAnsi"/>
        </w:rPr>
      </w:pPr>
    </w:p>
    <w:p w:rsidR="00F500C7" w:rsidRDefault="00F500C7" w:rsidP="00F500C7">
      <w:pPr>
        <w:rPr>
          <w:b/>
        </w:rPr>
      </w:pPr>
    </w:p>
    <w:p w:rsidR="00F500C7" w:rsidRDefault="00F500C7" w:rsidP="00F500C7">
      <w:pPr>
        <w:rPr>
          <w:b/>
        </w:rPr>
      </w:pPr>
    </w:p>
    <w:p w:rsidR="00F500C7" w:rsidRPr="00F91EFB" w:rsidRDefault="00F500C7" w:rsidP="00F500C7">
      <w:pPr>
        <w:pStyle w:val="IntenseQuote"/>
        <w:ind w:left="0" w:right="0"/>
        <w:rPr>
          <w:rFonts w:asciiTheme="minorHAnsi" w:hAnsiTheme="minorHAnsi"/>
          <w:i w:val="0"/>
          <w:color w:val="009999"/>
          <w:sz w:val="24"/>
          <w:szCs w:val="24"/>
        </w:rPr>
      </w:pPr>
      <w:r>
        <w:rPr>
          <w:rFonts w:asciiTheme="minorHAnsi" w:hAnsiTheme="minorHAnsi"/>
          <w:bCs w:val="0"/>
          <w:i w:val="0"/>
          <w:color w:val="009999"/>
          <w:sz w:val="24"/>
          <w:szCs w:val="24"/>
        </w:rPr>
        <w:t>APPENDIX 3 Group D</w:t>
      </w:r>
      <w:r w:rsidR="00A56531">
        <w:rPr>
          <w:rFonts w:asciiTheme="minorHAnsi" w:hAnsiTheme="minorHAnsi"/>
          <w:bCs w:val="0"/>
          <w:i w:val="0"/>
          <w:color w:val="009999"/>
          <w:sz w:val="24"/>
          <w:szCs w:val="24"/>
        </w:rPr>
        <w:t>iscussions</w:t>
      </w:r>
      <w:r>
        <w:rPr>
          <w:rFonts w:asciiTheme="minorHAnsi" w:hAnsiTheme="minorHAnsi"/>
          <w:bCs w:val="0"/>
          <w:i w:val="0"/>
          <w:color w:val="009999"/>
          <w:sz w:val="24"/>
          <w:szCs w:val="24"/>
        </w:rPr>
        <w:t>: Emerging Themes</w:t>
      </w:r>
    </w:p>
    <w:p w:rsidR="00F500C7" w:rsidRPr="00A56531" w:rsidRDefault="00F500C7" w:rsidP="00F500C7">
      <w:pPr>
        <w:rPr>
          <w:rFonts w:asciiTheme="minorHAnsi" w:hAnsiTheme="minorHAnsi"/>
          <w:b/>
        </w:rPr>
      </w:pPr>
      <w:r w:rsidRPr="00A56531">
        <w:rPr>
          <w:rFonts w:asciiTheme="minorHAnsi" w:hAnsiTheme="minorHAnsi"/>
          <w:b/>
        </w:rPr>
        <w:t>GROUP 1</w:t>
      </w:r>
    </w:p>
    <w:p w:rsidR="00F500C7" w:rsidRPr="00A56531" w:rsidRDefault="00F500C7" w:rsidP="00F500C7">
      <w:pPr>
        <w:pStyle w:val="ListParagraph"/>
        <w:numPr>
          <w:ilvl w:val="0"/>
          <w:numId w:val="6"/>
        </w:numPr>
        <w:spacing w:before="0" w:after="200" w:line="276" w:lineRule="auto"/>
        <w:rPr>
          <w:rFonts w:asciiTheme="minorHAnsi" w:hAnsiTheme="minorHAnsi"/>
        </w:rPr>
      </w:pPr>
      <w:r w:rsidRPr="00A56531">
        <w:rPr>
          <w:rFonts w:asciiTheme="minorHAnsi" w:hAnsiTheme="minorHAnsi"/>
        </w:rPr>
        <w:t>Lack of commonality in regions and shifting political landscapes</w:t>
      </w:r>
    </w:p>
    <w:p w:rsidR="00F500C7" w:rsidRPr="00A56531" w:rsidRDefault="00F500C7" w:rsidP="00F500C7">
      <w:pPr>
        <w:pStyle w:val="ListParagraph"/>
        <w:numPr>
          <w:ilvl w:val="0"/>
          <w:numId w:val="6"/>
        </w:numPr>
        <w:spacing w:before="0" w:after="200" w:line="276" w:lineRule="auto"/>
        <w:rPr>
          <w:rFonts w:asciiTheme="minorHAnsi" w:hAnsiTheme="minorHAnsi"/>
        </w:rPr>
      </w:pPr>
      <w:r w:rsidRPr="00A56531">
        <w:rPr>
          <w:rFonts w:asciiTheme="minorHAnsi" w:hAnsiTheme="minorHAnsi"/>
        </w:rPr>
        <w:t>Sustainability agenda less than 10 years ago in all but Scotland</w:t>
      </w:r>
    </w:p>
    <w:p w:rsidR="00F500C7" w:rsidRPr="00A56531" w:rsidRDefault="00F500C7" w:rsidP="00F500C7">
      <w:pPr>
        <w:pStyle w:val="ListParagraph"/>
        <w:numPr>
          <w:ilvl w:val="0"/>
          <w:numId w:val="6"/>
        </w:numPr>
        <w:spacing w:before="0" w:after="200" w:line="276" w:lineRule="auto"/>
        <w:rPr>
          <w:rFonts w:asciiTheme="minorHAnsi" w:hAnsiTheme="minorHAnsi"/>
        </w:rPr>
      </w:pPr>
      <w:r w:rsidRPr="00A56531">
        <w:rPr>
          <w:rFonts w:asciiTheme="minorHAnsi" w:hAnsiTheme="minorHAnsi"/>
        </w:rPr>
        <w:t>Not connecting well enough with key influencers in Teacher Education who are unaware and maybe sceptical of this agenda.</w:t>
      </w:r>
    </w:p>
    <w:p w:rsidR="00F500C7" w:rsidRPr="00A56531" w:rsidRDefault="00F500C7" w:rsidP="00F500C7">
      <w:pPr>
        <w:pStyle w:val="ListParagraph"/>
        <w:numPr>
          <w:ilvl w:val="0"/>
          <w:numId w:val="6"/>
        </w:numPr>
        <w:spacing w:before="0" w:after="200" w:line="276" w:lineRule="auto"/>
        <w:rPr>
          <w:rFonts w:asciiTheme="minorHAnsi" w:hAnsiTheme="minorHAnsi"/>
        </w:rPr>
      </w:pPr>
      <w:r w:rsidRPr="00A56531">
        <w:rPr>
          <w:rFonts w:asciiTheme="minorHAnsi" w:hAnsiTheme="minorHAnsi"/>
        </w:rPr>
        <w:t>Need to share its importance and impacts</w:t>
      </w:r>
    </w:p>
    <w:p w:rsidR="00F500C7" w:rsidRPr="00A56531" w:rsidRDefault="00F500C7" w:rsidP="00F500C7">
      <w:pPr>
        <w:rPr>
          <w:rFonts w:asciiTheme="minorHAnsi" w:hAnsiTheme="minorHAnsi"/>
        </w:rPr>
      </w:pPr>
      <w:r w:rsidRPr="00A56531">
        <w:rPr>
          <w:rFonts w:asciiTheme="minorHAnsi" w:hAnsiTheme="minorHAnsi"/>
        </w:rPr>
        <w:t>Own experiences</w:t>
      </w:r>
    </w:p>
    <w:p w:rsidR="00F500C7" w:rsidRPr="00A56531" w:rsidRDefault="00F500C7" w:rsidP="00F500C7">
      <w:pPr>
        <w:pStyle w:val="ListParagraph"/>
        <w:numPr>
          <w:ilvl w:val="0"/>
          <w:numId w:val="7"/>
        </w:numPr>
        <w:spacing w:before="0" w:after="200" w:line="276" w:lineRule="auto"/>
        <w:rPr>
          <w:rFonts w:asciiTheme="minorHAnsi" w:hAnsiTheme="minorHAnsi"/>
        </w:rPr>
      </w:pPr>
      <w:r w:rsidRPr="00A56531">
        <w:rPr>
          <w:rFonts w:asciiTheme="minorHAnsi" w:hAnsiTheme="minorHAnsi"/>
        </w:rPr>
        <w:t>Wales likely shift of ITE from universities to schools. How can ESD/GC fit into the current curriculum?</w:t>
      </w:r>
    </w:p>
    <w:p w:rsidR="00F500C7" w:rsidRPr="00A56531" w:rsidRDefault="00F500C7" w:rsidP="00F500C7">
      <w:pPr>
        <w:pStyle w:val="ListParagraph"/>
        <w:numPr>
          <w:ilvl w:val="0"/>
          <w:numId w:val="7"/>
        </w:numPr>
        <w:spacing w:before="0" w:after="200" w:line="276" w:lineRule="auto"/>
        <w:rPr>
          <w:rFonts w:asciiTheme="minorHAnsi" w:hAnsiTheme="minorHAnsi"/>
        </w:rPr>
      </w:pPr>
      <w:r w:rsidRPr="00A56531">
        <w:rPr>
          <w:rFonts w:asciiTheme="minorHAnsi" w:hAnsiTheme="minorHAnsi"/>
        </w:rPr>
        <w:t>ESD/GC is not on the current ITE radar in England. All driven by the Inspection system</w:t>
      </w:r>
    </w:p>
    <w:p w:rsidR="00F500C7" w:rsidRPr="00A56531" w:rsidRDefault="00F500C7" w:rsidP="00F500C7">
      <w:pPr>
        <w:pStyle w:val="ListParagraph"/>
        <w:numPr>
          <w:ilvl w:val="0"/>
          <w:numId w:val="7"/>
        </w:numPr>
        <w:spacing w:before="0" w:after="200" w:line="276" w:lineRule="auto"/>
        <w:rPr>
          <w:rFonts w:asciiTheme="minorHAnsi" w:hAnsiTheme="minorHAnsi"/>
        </w:rPr>
      </w:pPr>
      <w:r w:rsidRPr="00A56531">
        <w:rPr>
          <w:rFonts w:asciiTheme="minorHAnsi" w:hAnsiTheme="minorHAnsi"/>
        </w:rPr>
        <w:t>Northern Ireland little has changed in the past 20 years as a core of civil servants are gatekeepers</w:t>
      </w:r>
    </w:p>
    <w:p w:rsidR="00F500C7" w:rsidRPr="00A56531" w:rsidRDefault="00F500C7" w:rsidP="00F500C7">
      <w:pPr>
        <w:pStyle w:val="ListParagraph"/>
        <w:numPr>
          <w:ilvl w:val="0"/>
          <w:numId w:val="7"/>
        </w:numPr>
        <w:spacing w:before="0" w:after="200" w:line="276" w:lineRule="auto"/>
        <w:rPr>
          <w:rFonts w:asciiTheme="minorHAnsi" w:hAnsiTheme="minorHAnsi"/>
        </w:rPr>
      </w:pPr>
      <w:r w:rsidRPr="00A56531">
        <w:rPr>
          <w:rFonts w:asciiTheme="minorHAnsi" w:hAnsiTheme="minorHAnsi"/>
        </w:rPr>
        <w:t>Need for a pedagogical framework to underpin ESD/GC</w:t>
      </w:r>
    </w:p>
    <w:p w:rsidR="00F500C7" w:rsidRPr="00A56531" w:rsidRDefault="00F500C7" w:rsidP="00F500C7">
      <w:pPr>
        <w:rPr>
          <w:rFonts w:asciiTheme="minorHAnsi" w:hAnsiTheme="minorHAnsi"/>
        </w:rPr>
      </w:pPr>
      <w:r w:rsidRPr="00A56531">
        <w:rPr>
          <w:rFonts w:asciiTheme="minorHAnsi" w:hAnsiTheme="minorHAnsi"/>
        </w:rPr>
        <w:t>Emerging Issues:</w:t>
      </w:r>
    </w:p>
    <w:p w:rsidR="00F500C7" w:rsidRPr="00A56531" w:rsidRDefault="00F500C7" w:rsidP="00F500C7">
      <w:pPr>
        <w:pStyle w:val="ListParagraph"/>
        <w:numPr>
          <w:ilvl w:val="0"/>
          <w:numId w:val="5"/>
        </w:numPr>
        <w:spacing w:before="0" w:after="200" w:line="276" w:lineRule="auto"/>
        <w:rPr>
          <w:rFonts w:asciiTheme="minorHAnsi" w:hAnsiTheme="minorHAnsi"/>
        </w:rPr>
      </w:pPr>
      <w:r w:rsidRPr="00A56531">
        <w:rPr>
          <w:rFonts w:asciiTheme="minorHAnsi" w:hAnsiTheme="minorHAnsi"/>
        </w:rPr>
        <w:t>Importance of the REF to ESD/GC in Teaching Standards</w:t>
      </w:r>
    </w:p>
    <w:p w:rsidR="00F500C7" w:rsidRPr="00A56531" w:rsidRDefault="00F500C7" w:rsidP="00F500C7">
      <w:pPr>
        <w:pStyle w:val="ListParagraph"/>
        <w:numPr>
          <w:ilvl w:val="0"/>
          <w:numId w:val="5"/>
        </w:numPr>
        <w:spacing w:before="0" w:after="200" w:line="276" w:lineRule="auto"/>
        <w:rPr>
          <w:rFonts w:asciiTheme="minorHAnsi" w:hAnsiTheme="minorHAnsi"/>
        </w:rPr>
      </w:pPr>
      <w:r w:rsidRPr="00A56531">
        <w:rPr>
          <w:rFonts w:asciiTheme="minorHAnsi" w:hAnsiTheme="minorHAnsi"/>
        </w:rPr>
        <w:t>There is a need for the knowledge, skills, values and perspectives to prepare young people for an uncertain future</w:t>
      </w:r>
    </w:p>
    <w:p w:rsidR="00F500C7" w:rsidRPr="00A56531" w:rsidRDefault="00F500C7" w:rsidP="00F500C7">
      <w:pPr>
        <w:pStyle w:val="ListParagraph"/>
        <w:numPr>
          <w:ilvl w:val="0"/>
          <w:numId w:val="5"/>
        </w:numPr>
        <w:spacing w:before="0" w:after="200" w:line="276" w:lineRule="auto"/>
        <w:rPr>
          <w:rFonts w:asciiTheme="minorHAnsi" w:hAnsiTheme="minorHAnsi"/>
        </w:rPr>
      </w:pPr>
      <w:r w:rsidRPr="00A56531">
        <w:rPr>
          <w:rFonts w:asciiTheme="minorHAnsi" w:hAnsiTheme="minorHAnsi"/>
        </w:rPr>
        <w:t>ESD/GC needs to infuse undergraduate courses and be linked to subject areas</w:t>
      </w:r>
    </w:p>
    <w:p w:rsidR="00F500C7" w:rsidRPr="00A56531" w:rsidRDefault="00F500C7" w:rsidP="00F500C7">
      <w:pPr>
        <w:rPr>
          <w:rFonts w:asciiTheme="minorHAnsi" w:hAnsiTheme="minorHAnsi"/>
          <w:b/>
        </w:rPr>
      </w:pPr>
      <w:r w:rsidRPr="00A56531">
        <w:rPr>
          <w:rFonts w:asciiTheme="minorHAnsi" w:hAnsiTheme="minorHAnsi"/>
          <w:b/>
        </w:rPr>
        <w:t>GROUP 2</w:t>
      </w:r>
    </w:p>
    <w:p w:rsidR="00F500C7" w:rsidRPr="00A56531" w:rsidRDefault="00F500C7" w:rsidP="00F500C7">
      <w:pPr>
        <w:pStyle w:val="ListParagraph"/>
        <w:numPr>
          <w:ilvl w:val="0"/>
          <w:numId w:val="8"/>
        </w:numPr>
        <w:spacing w:before="0" w:after="200" w:line="276" w:lineRule="auto"/>
        <w:rPr>
          <w:rFonts w:asciiTheme="minorHAnsi" w:hAnsiTheme="minorHAnsi"/>
        </w:rPr>
      </w:pPr>
      <w:r w:rsidRPr="00A56531">
        <w:rPr>
          <w:rFonts w:asciiTheme="minorHAnsi" w:hAnsiTheme="minorHAnsi"/>
        </w:rPr>
        <w:t>Expertise versus capacity building</w:t>
      </w:r>
    </w:p>
    <w:p w:rsidR="00F500C7" w:rsidRPr="00A56531" w:rsidRDefault="00F500C7" w:rsidP="00F500C7">
      <w:pPr>
        <w:pStyle w:val="ListParagraph"/>
        <w:numPr>
          <w:ilvl w:val="0"/>
          <w:numId w:val="8"/>
        </w:numPr>
        <w:spacing w:before="0" w:after="200" w:line="276" w:lineRule="auto"/>
        <w:rPr>
          <w:rFonts w:asciiTheme="minorHAnsi" w:hAnsiTheme="minorHAnsi"/>
        </w:rPr>
      </w:pPr>
      <w:r w:rsidRPr="00A56531">
        <w:rPr>
          <w:rFonts w:asciiTheme="minorHAnsi" w:hAnsiTheme="minorHAnsi"/>
        </w:rPr>
        <w:t>Teacher recruitment and retention</w:t>
      </w:r>
    </w:p>
    <w:p w:rsidR="00F500C7" w:rsidRPr="00A56531" w:rsidRDefault="00F500C7" w:rsidP="00F500C7">
      <w:pPr>
        <w:pStyle w:val="ListParagraph"/>
        <w:numPr>
          <w:ilvl w:val="0"/>
          <w:numId w:val="8"/>
        </w:numPr>
        <w:spacing w:before="0" w:after="200" w:line="276" w:lineRule="auto"/>
        <w:rPr>
          <w:rFonts w:asciiTheme="minorHAnsi" w:hAnsiTheme="minorHAnsi"/>
        </w:rPr>
      </w:pPr>
      <w:r w:rsidRPr="00A56531">
        <w:rPr>
          <w:rFonts w:asciiTheme="minorHAnsi" w:hAnsiTheme="minorHAnsi"/>
        </w:rPr>
        <w:t>The impact of CPD for existing workforce</w:t>
      </w:r>
    </w:p>
    <w:p w:rsidR="00F500C7" w:rsidRPr="00A56531" w:rsidRDefault="00F500C7" w:rsidP="00F500C7">
      <w:pPr>
        <w:pStyle w:val="ListParagraph"/>
        <w:numPr>
          <w:ilvl w:val="0"/>
          <w:numId w:val="8"/>
        </w:numPr>
        <w:spacing w:before="0" w:after="200" w:line="276" w:lineRule="auto"/>
        <w:rPr>
          <w:rFonts w:asciiTheme="minorHAnsi" w:hAnsiTheme="minorHAnsi"/>
        </w:rPr>
      </w:pPr>
      <w:r w:rsidRPr="00A56531">
        <w:rPr>
          <w:rFonts w:asciiTheme="minorHAnsi" w:hAnsiTheme="minorHAnsi"/>
        </w:rPr>
        <w:t>The key role of NGOs in bringing in the real-life dimension</w:t>
      </w:r>
    </w:p>
    <w:p w:rsidR="00F500C7" w:rsidRPr="00A56531" w:rsidRDefault="00F500C7" w:rsidP="00F500C7">
      <w:pPr>
        <w:pStyle w:val="ListParagraph"/>
        <w:numPr>
          <w:ilvl w:val="0"/>
          <w:numId w:val="8"/>
        </w:numPr>
        <w:spacing w:before="0" w:after="200" w:line="276" w:lineRule="auto"/>
        <w:rPr>
          <w:rFonts w:asciiTheme="minorHAnsi" w:hAnsiTheme="minorHAnsi"/>
        </w:rPr>
      </w:pPr>
      <w:r w:rsidRPr="00A56531">
        <w:rPr>
          <w:rFonts w:asciiTheme="minorHAnsi" w:hAnsiTheme="minorHAnsi"/>
        </w:rPr>
        <w:t>The role of Quality Assurance</w:t>
      </w:r>
    </w:p>
    <w:p w:rsidR="00F500C7" w:rsidRPr="00A56531" w:rsidRDefault="00F500C7" w:rsidP="00F500C7">
      <w:pPr>
        <w:rPr>
          <w:rFonts w:asciiTheme="minorHAnsi" w:hAnsiTheme="minorHAnsi"/>
          <w:b/>
        </w:rPr>
      </w:pPr>
      <w:r w:rsidRPr="00A56531">
        <w:rPr>
          <w:rFonts w:asciiTheme="minorHAnsi" w:hAnsiTheme="minorHAnsi"/>
          <w:b/>
        </w:rPr>
        <w:t>GROUP 3</w:t>
      </w:r>
    </w:p>
    <w:p w:rsidR="00F500C7" w:rsidRPr="00A56531" w:rsidRDefault="00F500C7" w:rsidP="00F500C7">
      <w:pPr>
        <w:pStyle w:val="ListParagraph"/>
        <w:numPr>
          <w:ilvl w:val="0"/>
          <w:numId w:val="9"/>
        </w:numPr>
        <w:spacing w:before="0" w:after="200" w:line="276" w:lineRule="auto"/>
        <w:rPr>
          <w:rFonts w:asciiTheme="minorHAnsi" w:hAnsiTheme="minorHAnsi"/>
        </w:rPr>
      </w:pPr>
      <w:r w:rsidRPr="00A56531">
        <w:rPr>
          <w:rFonts w:asciiTheme="minorHAnsi" w:hAnsiTheme="minorHAnsi"/>
        </w:rPr>
        <w:t>What more radical ways of thinking about education and pedagogy are there?</w:t>
      </w:r>
    </w:p>
    <w:p w:rsidR="00F500C7" w:rsidRPr="00A56531" w:rsidRDefault="00F500C7" w:rsidP="00F500C7">
      <w:pPr>
        <w:pStyle w:val="ListParagraph"/>
        <w:numPr>
          <w:ilvl w:val="0"/>
          <w:numId w:val="9"/>
        </w:numPr>
        <w:spacing w:before="0" w:after="200" w:line="276" w:lineRule="auto"/>
        <w:rPr>
          <w:rFonts w:asciiTheme="minorHAnsi" w:hAnsiTheme="minorHAnsi"/>
        </w:rPr>
      </w:pPr>
      <w:r w:rsidRPr="00A56531">
        <w:rPr>
          <w:rFonts w:asciiTheme="minorHAnsi" w:hAnsiTheme="minorHAnsi"/>
        </w:rPr>
        <w:t>Are ESD and citizenship two sides of the same coin?</w:t>
      </w:r>
    </w:p>
    <w:p w:rsidR="00F500C7" w:rsidRPr="00A56531" w:rsidRDefault="00F500C7" w:rsidP="00F500C7">
      <w:pPr>
        <w:pStyle w:val="ListParagraph"/>
        <w:numPr>
          <w:ilvl w:val="0"/>
          <w:numId w:val="9"/>
        </w:numPr>
        <w:spacing w:before="0" w:after="200" w:line="276" w:lineRule="auto"/>
        <w:rPr>
          <w:rFonts w:asciiTheme="minorHAnsi" w:hAnsiTheme="minorHAnsi"/>
        </w:rPr>
      </w:pPr>
      <w:r w:rsidRPr="00A56531">
        <w:rPr>
          <w:rFonts w:asciiTheme="minorHAnsi" w:hAnsiTheme="minorHAnsi"/>
        </w:rPr>
        <w:t>Need to share the importance of ESD/GC with opinion formers in education</w:t>
      </w:r>
    </w:p>
    <w:p w:rsidR="00F500C7" w:rsidRPr="00A56531" w:rsidRDefault="00F500C7" w:rsidP="00F500C7">
      <w:pPr>
        <w:pStyle w:val="ListParagraph"/>
        <w:numPr>
          <w:ilvl w:val="0"/>
          <w:numId w:val="9"/>
        </w:numPr>
        <w:spacing w:before="0" w:after="200" w:line="276" w:lineRule="auto"/>
        <w:rPr>
          <w:rFonts w:asciiTheme="minorHAnsi" w:hAnsiTheme="minorHAnsi"/>
        </w:rPr>
      </w:pPr>
      <w:r w:rsidRPr="00A56531">
        <w:rPr>
          <w:rFonts w:asciiTheme="minorHAnsi" w:hAnsiTheme="minorHAnsi"/>
        </w:rPr>
        <w:t>Issues of enquiry based learning</w:t>
      </w:r>
    </w:p>
    <w:p w:rsidR="00F500C7" w:rsidRPr="00A56531" w:rsidRDefault="00F500C7" w:rsidP="00F500C7">
      <w:pPr>
        <w:pStyle w:val="ListParagraph"/>
        <w:numPr>
          <w:ilvl w:val="0"/>
          <w:numId w:val="9"/>
        </w:numPr>
        <w:spacing w:before="0" w:after="200" w:line="276" w:lineRule="auto"/>
        <w:rPr>
          <w:rFonts w:asciiTheme="minorHAnsi" w:hAnsiTheme="minorHAnsi"/>
        </w:rPr>
      </w:pPr>
      <w:r w:rsidRPr="00A56531">
        <w:rPr>
          <w:rFonts w:asciiTheme="minorHAnsi" w:hAnsiTheme="minorHAnsi"/>
        </w:rPr>
        <w:t>A pedagogical framework is needed</w:t>
      </w:r>
    </w:p>
    <w:p w:rsidR="00F500C7" w:rsidRPr="00A56531" w:rsidRDefault="00F500C7" w:rsidP="00F500C7">
      <w:pPr>
        <w:pStyle w:val="ListParagraph"/>
        <w:numPr>
          <w:ilvl w:val="0"/>
          <w:numId w:val="9"/>
        </w:numPr>
        <w:spacing w:before="0" w:after="200" w:line="276" w:lineRule="auto"/>
        <w:rPr>
          <w:rFonts w:asciiTheme="minorHAnsi" w:hAnsiTheme="minorHAnsi"/>
        </w:rPr>
      </w:pPr>
      <w:r w:rsidRPr="00A56531">
        <w:rPr>
          <w:rFonts w:asciiTheme="minorHAnsi" w:hAnsiTheme="minorHAnsi"/>
        </w:rPr>
        <w:t>School leaders (OFSTED etc) as well as trainees</w:t>
      </w:r>
    </w:p>
    <w:p w:rsidR="00F500C7" w:rsidRPr="00A56531" w:rsidRDefault="00F500C7" w:rsidP="00F500C7">
      <w:pPr>
        <w:pStyle w:val="ListParagraph"/>
        <w:numPr>
          <w:ilvl w:val="0"/>
          <w:numId w:val="9"/>
        </w:numPr>
        <w:spacing w:before="0" w:after="200" w:line="276" w:lineRule="auto"/>
        <w:rPr>
          <w:rFonts w:asciiTheme="minorHAnsi" w:hAnsiTheme="minorHAnsi"/>
        </w:rPr>
      </w:pPr>
      <w:r w:rsidRPr="00A56531">
        <w:rPr>
          <w:rFonts w:asciiTheme="minorHAnsi" w:hAnsiTheme="minorHAnsi"/>
        </w:rPr>
        <w:t>Language and responsibilities</w:t>
      </w:r>
    </w:p>
    <w:p w:rsidR="00F500C7" w:rsidRPr="00A56531" w:rsidRDefault="00F500C7" w:rsidP="00F500C7">
      <w:pPr>
        <w:pStyle w:val="ListParagraph"/>
        <w:numPr>
          <w:ilvl w:val="0"/>
          <w:numId w:val="9"/>
        </w:numPr>
        <w:spacing w:before="0" w:after="200" w:line="276" w:lineRule="auto"/>
        <w:rPr>
          <w:rFonts w:asciiTheme="minorHAnsi" w:hAnsiTheme="minorHAnsi"/>
        </w:rPr>
      </w:pPr>
      <w:r w:rsidRPr="00A56531">
        <w:rPr>
          <w:rFonts w:asciiTheme="minorHAnsi" w:hAnsiTheme="minorHAnsi"/>
        </w:rPr>
        <w:t>Secondary knowledge for the greater good</w:t>
      </w:r>
    </w:p>
    <w:p w:rsidR="00F500C7" w:rsidRPr="00A56531" w:rsidRDefault="0069699D" w:rsidP="00F500C7">
      <w:pPr>
        <w:rPr>
          <w:rFonts w:asciiTheme="minorHAnsi" w:hAnsiTheme="minorHAnsi"/>
          <w:b/>
        </w:rPr>
      </w:pPr>
      <w:r>
        <w:rPr>
          <w:rFonts w:asciiTheme="minorHAnsi" w:hAnsiTheme="minorHAnsi"/>
          <w:b/>
        </w:rPr>
        <w:t>GROUP 4</w:t>
      </w:r>
    </w:p>
    <w:p w:rsidR="00F500C7" w:rsidRPr="00A56531" w:rsidRDefault="00F500C7" w:rsidP="00F500C7">
      <w:pPr>
        <w:pStyle w:val="ListParagraph"/>
        <w:numPr>
          <w:ilvl w:val="0"/>
          <w:numId w:val="11"/>
        </w:numPr>
        <w:spacing w:before="0" w:after="200" w:line="276" w:lineRule="auto"/>
        <w:rPr>
          <w:rFonts w:asciiTheme="minorHAnsi" w:hAnsiTheme="minorHAnsi"/>
        </w:rPr>
      </w:pPr>
      <w:r w:rsidRPr="00A56531">
        <w:rPr>
          <w:rFonts w:asciiTheme="minorHAnsi" w:hAnsiTheme="minorHAnsi"/>
        </w:rPr>
        <w:t>Judge a system by its practice not its policy</w:t>
      </w:r>
    </w:p>
    <w:p w:rsidR="00F500C7" w:rsidRPr="00A56531" w:rsidRDefault="00F500C7" w:rsidP="00F500C7">
      <w:pPr>
        <w:pStyle w:val="ListParagraph"/>
        <w:numPr>
          <w:ilvl w:val="0"/>
          <w:numId w:val="11"/>
        </w:numPr>
        <w:spacing w:before="0" w:after="200" w:line="276" w:lineRule="auto"/>
        <w:rPr>
          <w:rFonts w:asciiTheme="minorHAnsi" w:hAnsiTheme="minorHAnsi"/>
        </w:rPr>
      </w:pPr>
      <w:r w:rsidRPr="00A56531">
        <w:rPr>
          <w:rFonts w:asciiTheme="minorHAnsi" w:hAnsiTheme="minorHAnsi"/>
        </w:rPr>
        <w:t>Some very good practice exists in schools, but there is variation</w:t>
      </w:r>
    </w:p>
    <w:p w:rsidR="00F500C7" w:rsidRPr="00A56531" w:rsidRDefault="00F500C7" w:rsidP="00F500C7">
      <w:pPr>
        <w:pStyle w:val="ListParagraph"/>
        <w:numPr>
          <w:ilvl w:val="0"/>
          <w:numId w:val="11"/>
        </w:numPr>
        <w:spacing w:before="0" w:after="200" w:line="276" w:lineRule="auto"/>
        <w:rPr>
          <w:rFonts w:asciiTheme="minorHAnsi" w:hAnsiTheme="minorHAnsi"/>
        </w:rPr>
      </w:pPr>
      <w:r w:rsidRPr="00A56531">
        <w:rPr>
          <w:rFonts w:asciiTheme="minorHAnsi" w:hAnsiTheme="minorHAnsi"/>
        </w:rPr>
        <w:t>Secondary task – allegiances, linked to Identity/identities</w:t>
      </w:r>
    </w:p>
    <w:p w:rsidR="00F500C7" w:rsidRPr="00A56531" w:rsidRDefault="00F500C7" w:rsidP="00F500C7">
      <w:pPr>
        <w:pStyle w:val="ListParagraph"/>
        <w:numPr>
          <w:ilvl w:val="0"/>
          <w:numId w:val="11"/>
        </w:numPr>
        <w:spacing w:before="0" w:after="200" w:line="276" w:lineRule="auto"/>
        <w:rPr>
          <w:rFonts w:asciiTheme="minorHAnsi" w:hAnsiTheme="minorHAnsi"/>
        </w:rPr>
      </w:pPr>
      <w:r w:rsidRPr="00A56531">
        <w:rPr>
          <w:rFonts w:asciiTheme="minorHAnsi" w:hAnsiTheme="minorHAnsi"/>
        </w:rPr>
        <w:t>Practice what you preach</w:t>
      </w:r>
    </w:p>
    <w:p w:rsidR="00F500C7" w:rsidRPr="00A56531" w:rsidRDefault="00F500C7" w:rsidP="00F500C7">
      <w:pPr>
        <w:pStyle w:val="ListParagraph"/>
        <w:numPr>
          <w:ilvl w:val="0"/>
          <w:numId w:val="11"/>
        </w:numPr>
        <w:spacing w:before="0" w:after="200" w:line="276" w:lineRule="auto"/>
        <w:rPr>
          <w:rFonts w:asciiTheme="minorHAnsi" w:hAnsiTheme="minorHAnsi"/>
        </w:rPr>
      </w:pPr>
      <w:r w:rsidRPr="00A56531">
        <w:rPr>
          <w:rFonts w:asciiTheme="minorHAnsi" w:hAnsiTheme="minorHAnsi"/>
        </w:rPr>
        <w:lastRenderedPageBreak/>
        <w:t>Eco</w:t>
      </w:r>
      <w:r w:rsidR="00A56531">
        <w:rPr>
          <w:rFonts w:asciiTheme="minorHAnsi" w:hAnsiTheme="minorHAnsi"/>
        </w:rPr>
        <w:t>-</w:t>
      </w:r>
      <w:r w:rsidRPr="00A56531">
        <w:rPr>
          <w:rFonts w:asciiTheme="minorHAnsi" w:hAnsiTheme="minorHAnsi"/>
        </w:rPr>
        <w:t xml:space="preserve">pedagogy – make the invisible visible, the unknown known and engage with credibility and </w:t>
      </w:r>
      <w:r w:rsidR="00A56531">
        <w:rPr>
          <w:rFonts w:asciiTheme="minorHAnsi" w:hAnsiTheme="minorHAnsi"/>
        </w:rPr>
        <w:t>curio</w:t>
      </w:r>
      <w:r w:rsidRPr="00A56531">
        <w:rPr>
          <w:rFonts w:asciiTheme="minorHAnsi" w:hAnsiTheme="minorHAnsi"/>
        </w:rPr>
        <w:t>sity. Promote connections and ensure progression</w:t>
      </w:r>
    </w:p>
    <w:p w:rsidR="00F500C7" w:rsidRDefault="00F500C7" w:rsidP="00F500C7">
      <w:pPr>
        <w:pStyle w:val="ListParagraph"/>
        <w:numPr>
          <w:ilvl w:val="0"/>
          <w:numId w:val="11"/>
        </w:numPr>
        <w:spacing w:before="0" w:after="200" w:line="276" w:lineRule="auto"/>
        <w:rPr>
          <w:rFonts w:asciiTheme="minorHAnsi" w:hAnsiTheme="minorHAnsi"/>
        </w:rPr>
      </w:pPr>
      <w:r w:rsidRPr="00A56531">
        <w:rPr>
          <w:rFonts w:asciiTheme="minorHAnsi" w:hAnsiTheme="minorHAnsi"/>
        </w:rPr>
        <w:t>Citizenship = learning for sustainability</w:t>
      </w:r>
    </w:p>
    <w:p w:rsidR="00260CC8" w:rsidRPr="00F91EFB" w:rsidRDefault="00260CC8" w:rsidP="00260CC8">
      <w:pPr>
        <w:pStyle w:val="IntenseQuote"/>
        <w:ind w:left="0" w:right="0"/>
        <w:rPr>
          <w:rFonts w:asciiTheme="minorHAnsi" w:hAnsiTheme="minorHAnsi"/>
          <w:i w:val="0"/>
          <w:color w:val="009999"/>
          <w:sz w:val="24"/>
          <w:szCs w:val="24"/>
        </w:rPr>
      </w:pPr>
      <w:r>
        <w:rPr>
          <w:rFonts w:asciiTheme="minorHAnsi" w:hAnsiTheme="minorHAnsi"/>
          <w:bCs w:val="0"/>
          <w:i w:val="0"/>
          <w:color w:val="009999"/>
          <w:sz w:val="24"/>
          <w:szCs w:val="24"/>
        </w:rPr>
        <w:t>APPENDIX 4 UNESCO Background Paper: Summary</w:t>
      </w:r>
    </w:p>
    <w:p w:rsidR="00260CC8" w:rsidRPr="00260CC8" w:rsidRDefault="00260CC8" w:rsidP="00260CC8">
      <w:pPr>
        <w:pStyle w:val="Title"/>
        <w:jc w:val="left"/>
        <w:rPr>
          <w:rFonts w:asciiTheme="minorHAnsi" w:hAnsiTheme="minorHAnsi" w:cs="Arial"/>
          <w:sz w:val="24"/>
          <w:szCs w:val="24"/>
          <w:lang w:val="en-GB"/>
        </w:rPr>
      </w:pPr>
      <w:r w:rsidRPr="00260CC8">
        <w:rPr>
          <w:rFonts w:asciiTheme="minorHAnsi" w:eastAsia="Arial" w:hAnsiTheme="minorHAnsi" w:cs="Arial"/>
          <w:sz w:val="24"/>
          <w:szCs w:val="24"/>
          <w:lang w:val="en-GB"/>
        </w:rPr>
        <w:t>A REVIEW OF EDUCATION FOR SUSTAINABLE DEVELOPMENT AND GLOBAL CITIZENSHIP EDUCATION IN TEACHER EDUCATION</w:t>
      </w:r>
    </w:p>
    <w:p w:rsidR="00260CC8" w:rsidRPr="00260CC8" w:rsidRDefault="00260CC8" w:rsidP="00260CC8">
      <w:pPr>
        <w:rPr>
          <w:rFonts w:asciiTheme="minorHAnsi" w:hAnsiTheme="minorHAnsi" w:cs="Arial"/>
        </w:rPr>
      </w:pPr>
      <w:r w:rsidRPr="00260CC8">
        <w:rPr>
          <w:rFonts w:asciiTheme="minorHAnsi" w:eastAsia="Arial" w:hAnsiTheme="minorHAnsi" w:cs="Arial"/>
        </w:rPr>
        <w:t>Douglas Bourn, Frances Hunt and Phil Bamber</w:t>
      </w:r>
    </w:p>
    <w:p w:rsidR="00260CC8" w:rsidRPr="00260CC8" w:rsidRDefault="00260CC8" w:rsidP="00260CC8">
      <w:pPr>
        <w:spacing w:before="0" w:after="160" w:line="256" w:lineRule="auto"/>
        <w:rPr>
          <w:rFonts w:asciiTheme="minorHAnsi" w:eastAsia="Arial" w:hAnsiTheme="minorHAnsi" w:cs="Arial"/>
        </w:rPr>
      </w:pPr>
      <w:r w:rsidRPr="00260CC8">
        <w:rPr>
          <w:rFonts w:asciiTheme="minorHAnsi" w:eastAsia="Arial" w:hAnsiTheme="minorHAnsi" w:cs="Arial"/>
        </w:rPr>
        <w:t>2017</w:t>
      </w:r>
    </w:p>
    <w:p w:rsidR="00260CC8" w:rsidRDefault="00260CC8" w:rsidP="00260CC8">
      <w:pPr>
        <w:rPr>
          <w:rFonts w:asciiTheme="minorHAnsi" w:eastAsia="Arial" w:hAnsiTheme="minorHAnsi" w:cs="Arial"/>
        </w:rPr>
      </w:pPr>
      <w:r w:rsidRPr="00260CC8">
        <w:rPr>
          <w:rFonts w:asciiTheme="minorHAnsi" w:eastAsia="Arial" w:hAnsiTheme="minorHAnsi" w:cs="Arial"/>
        </w:rPr>
        <w:t>SUMMARY</w:t>
      </w:r>
    </w:p>
    <w:p w:rsidR="00260CC8" w:rsidRPr="00260CC8" w:rsidRDefault="00260CC8" w:rsidP="00260CC8">
      <w:pPr>
        <w:rPr>
          <w:rFonts w:asciiTheme="minorHAnsi" w:eastAsia="Arial" w:hAnsiTheme="minorHAnsi" w:cs="Arial"/>
        </w:rPr>
      </w:pPr>
      <w:r w:rsidRPr="00260CC8">
        <w:rPr>
          <w:rFonts w:asciiTheme="minorHAnsi" w:eastAsia="Arial" w:hAnsiTheme="minorHAnsi" w:cs="Arial"/>
        </w:rPr>
        <w:t xml:space="preserve">Teacher education can make an important contribution to raising understanding of Sustainable Development Goals within education. Education for sustainable development (ESD) and global citizenship education (GCED), human rights, peace and inter-cultural understanding can be seen within a range of courses for the initial training and continuing professional development of teachers. However, in many instances they are seen as optional extras to core courses. </w:t>
      </w:r>
    </w:p>
    <w:p w:rsidR="00260CC8" w:rsidRPr="00260CC8" w:rsidRDefault="00260CC8" w:rsidP="00260CC8">
      <w:pPr>
        <w:rPr>
          <w:rFonts w:asciiTheme="minorHAnsi" w:hAnsiTheme="minorHAnsi" w:cs="Arial"/>
        </w:rPr>
      </w:pPr>
      <w:r w:rsidRPr="00260CC8">
        <w:rPr>
          <w:rFonts w:asciiTheme="minorHAnsi" w:eastAsia="Arial" w:hAnsiTheme="minorHAnsi" w:cs="Arial"/>
        </w:rPr>
        <w:t xml:space="preserve">There is a tendency in many countries for ESD and GCED to be promoted within teacher education along parallel lines. To maximise impact, there is a need for these initiatives to come more closely together.  </w:t>
      </w:r>
    </w:p>
    <w:p w:rsidR="00260CC8" w:rsidRPr="00260CC8" w:rsidRDefault="00260CC8" w:rsidP="00260CC8">
      <w:pPr>
        <w:rPr>
          <w:rFonts w:asciiTheme="minorHAnsi" w:hAnsiTheme="minorHAnsi" w:cs="Arial"/>
        </w:rPr>
      </w:pPr>
      <w:r w:rsidRPr="00260CC8">
        <w:rPr>
          <w:rFonts w:asciiTheme="minorHAnsi" w:eastAsia="Arial" w:hAnsiTheme="minorHAnsi" w:cs="Arial"/>
        </w:rPr>
        <w:t>ESD and GCED approaches tend to promote a social constructivist approach to teaching and learning. This can present major challenges to securing broader support because it is counter to dominant approaches to the training and education of teachers.</w:t>
      </w:r>
    </w:p>
    <w:p w:rsidR="00260CC8" w:rsidRPr="00260CC8" w:rsidRDefault="00260CC8" w:rsidP="00260CC8">
      <w:pPr>
        <w:rPr>
          <w:rFonts w:asciiTheme="minorHAnsi" w:hAnsiTheme="minorHAnsi" w:cs="Arial"/>
        </w:rPr>
      </w:pPr>
      <w:r w:rsidRPr="00260CC8">
        <w:rPr>
          <w:rFonts w:asciiTheme="minorHAnsi" w:eastAsia="Arial" w:hAnsiTheme="minorHAnsi" w:cs="Arial"/>
        </w:rPr>
        <w:t xml:space="preserve">Civil society organisations and policy-makers outside of education have tended to have a major influence in determining the practices of ESD and GCED within teacher education. </w:t>
      </w:r>
    </w:p>
    <w:p w:rsidR="00260CC8" w:rsidRPr="00260CC8" w:rsidRDefault="00260CC8" w:rsidP="00260CC8">
      <w:pPr>
        <w:rPr>
          <w:rFonts w:asciiTheme="minorHAnsi" w:hAnsiTheme="minorHAnsi" w:cs="Arial"/>
        </w:rPr>
      </w:pPr>
      <w:r w:rsidRPr="00260CC8">
        <w:rPr>
          <w:rFonts w:asciiTheme="minorHAnsi" w:eastAsia="Arial" w:hAnsiTheme="minorHAnsi" w:cs="Arial"/>
        </w:rPr>
        <w:t>To measure progress, indicators need to be developed that make connections between ESD and GCED and current themes within education such as global competencies, cultural understanding and moral and social purpose of teaching.</w:t>
      </w:r>
    </w:p>
    <w:p w:rsidR="00260CC8" w:rsidRDefault="00260CC8" w:rsidP="00260CC8">
      <w:pPr>
        <w:rPr>
          <w:rFonts w:asciiTheme="minorHAnsi" w:eastAsia="Arial" w:hAnsiTheme="minorHAnsi" w:cs="Arial"/>
        </w:rPr>
      </w:pPr>
      <w:r w:rsidRPr="00260CC8">
        <w:rPr>
          <w:rFonts w:asciiTheme="minorHAnsi" w:eastAsia="Arial" w:hAnsiTheme="minorHAnsi" w:cs="Arial"/>
        </w:rPr>
        <w:t xml:space="preserve">Networks, be they national, regional or international, can play an important role in sharing expertise and influencing policy-makers. </w:t>
      </w:r>
    </w:p>
    <w:p w:rsidR="00260CC8" w:rsidRPr="00260CC8" w:rsidRDefault="00260CC8" w:rsidP="00260CC8">
      <w:pPr>
        <w:rPr>
          <w:rFonts w:asciiTheme="minorHAnsi" w:hAnsiTheme="minorHAnsi" w:cs="Arial"/>
        </w:rPr>
      </w:pPr>
    </w:p>
    <w:p w:rsidR="00260CC8" w:rsidRPr="00260CC8" w:rsidRDefault="00260CC8" w:rsidP="00260CC8">
      <w:pPr>
        <w:spacing w:before="0" w:after="200" w:line="276" w:lineRule="auto"/>
        <w:ind w:left="360"/>
        <w:rPr>
          <w:rFonts w:asciiTheme="minorHAnsi" w:hAnsiTheme="minorHAnsi"/>
        </w:rPr>
      </w:pPr>
    </w:p>
    <w:p w:rsidR="00F500C7" w:rsidRPr="00F91EFB" w:rsidRDefault="00F500C7" w:rsidP="00F500C7">
      <w:pPr>
        <w:pStyle w:val="IntenseQuote"/>
        <w:ind w:left="0" w:right="0"/>
        <w:rPr>
          <w:rFonts w:asciiTheme="minorHAnsi" w:hAnsiTheme="minorHAnsi"/>
          <w:i w:val="0"/>
          <w:color w:val="009999"/>
          <w:sz w:val="24"/>
          <w:szCs w:val="24"/>
        </w:rPr>
      </w:pPr>
      <w:r>
        <w:rPr>
          <w:rFonts w:asciiTheme="minorHAnsi" w:hAnsiTheme="minorHAnsi"/>
          <w:bCs w:val="0"/>
          <w:i w:val="0"/>
          <w:color w:val="009999"/>
          <w:sz w:val="24"/>
          <w:szCs w:val="24"/>
        </w:rPr>
        <w:t xml:space="preserve">APPENDIX </w:t>
      </w:r>
      <w:r w:rsidR="00260CC8">
        <w:rPr>
          <w:rFonts w:asciiTheme="minorHAnsi" w:hAnsiTheme="minorHAnsi"/>
          <w:bCs w:val="0"/>
          <w:i w:val="0"/>
          <w:color w:val="009999"/>
          <w:sz w:val="24"/>
          <w:szCs w:val="24"/>
        </w:rPr>
        <w:t>5</w:t>
      </w:r>
      <w:r>
        <w:rPr>
          <w:rFonts w:asciiTheme="minorHAnsi" w:hAnsiTheme="minorHAnsi"/>
          <w:bCs w:val="0"/>
          <w:i w:val="0"/>
          <w:color w:val="009999"/>
          <w:sz w:val="24"/>
          <w:szCs w:val="24"/>
        </w:rPr>
        <w:t xml:space="preserve"> Group discussions: </w:t>
      </w:r>
      <w:r w:rsidR="00DD2595">
        <w:rPr>
          <w:rFonts w:asciiTheme="minorHAnsi" w:hAnsiTheme="minorHAnsi"/>
          <w:bCs w:val="0"/>
          <w:i w:val="0"/>
          <w:color w:val="009999"/>
          <w:sz w:val="24"/>
          <w:szCs w:val="24"/>
        </w:rPr>
        <w:t>Opportunities for Making Progress</w:t>
      </w:r>
    </w:p>
    <w:p w:rsidR="00F500C7" w:rsidRPr="00A56531" w:rsidRDefault="00F500C7" w:rsidP="00F500C7">
      <w:pPr>
        <w:rPr>
          <w:rFonts w:asciiTheme="minorHAnsi" w:hAnsiTheme="minorHAnsi"/>
          <w:b/>
        </w:rPr>
      </w:pPr>
      <w:r w:rsidRPr="00A56531">
        <w:rPr>
          <w:rFonts w:asciiTheme="minorHAnsi" w:hAnsiTheme="minorHAnsi"/>
          <w:b/>
        </w:rPr>
        <w:t>Raising the profile of SDG4 in ITE</w:t>
      </w:r>
    </w:p>
    <w:p w:rsidR="00F500C7" w:rsidRPr="00A56531" w:rsidRDefault="00F500C7" w:rsidP="00F500C7">
      <w:pPr>
        <w:pStyle w:val="ListParagraph"/>
        <w:numPr>
          <w:ilvl w:val="0"/>
          <w:numId w:val="12"/>
        </w:numPr>
        <w:spacing w:before="0" w:after="200" w:line="276" w:lineRule="auto"/>
        <w:rPr>
          <w:rFonts w:asciiTheme="minorHAnsi" w:hAnsiTheme="minorHAnsi"/>
        </w:rPr>
      </w:pPr>
      <w:r w:rsidRPr="00A56531">
        <w:rPr>
          <w:rFonts w:asciiTheme="minorHAnsi" w:hAnsiTheme="minorHAnsi"/>
        </w:rPr>
        <w:t xml:space="preserve">Process of module/course change. </w:t>
      </w:r>
    </w:p>
    <w:p w:rsidR="00F500C7" w:rsidRPr="00A56531" w:rsidRDefault="00F500C7" w:rsidP="00F500C7">
      <w:pPr>
        <w:pStyle w:val="ListParagraph"/>
        <w:numPr>
          <w:ilvl w:val="0"/>
          <w:numId w:val="12"/>
        </w:numPr>
        <w:spacing w:before="0" w:after="200" w:line="276" w:lineRule="auto"/>
        <w:rPr>
          <w:rFonts w:asciiTheme="minorHAnsi" w:hAnsiTheme="minorHAnsi"/>
        </w:rPr>
      </w:pPr>
      <w:r w:rsidRPr="00A56531">
        <w:rPr>
          <w:rFonts w:asciiTheme="minorHAnsi" w:hAnsiTheme="minorHAnsi"/>
        </w:rPr>
        <w:t xml:space="preserve">Need to influence senior managers to ensure integration </w:t>
      </w:r>
    </w:p>
    <w:p w:rsidR="00F500C7" w:rsidRPr="00A56531" w:rsidRDefault="00F500C7" w:rsidP="00F500C7">
      <w:pPr>
        <w:pStyle w:val="ListParagraph"/>
        <w:numPr>
          <w:ilvl w:val="0"/>
          <w:numId w:val="12"/>
        </w:numPr>
        <w:spacing w:before="0" w:after="200" w:line="276" w:lineRule="auto"/>
        <w:rPr>
          <w:rFonts w:asciiTheme="minorHAnsi" w:hAnsiTheme="minorHAnsi"/>
        </w:rPr>
      </w:pPr>
      <w:r w:rsidRPr="00A56531">
        <w:rPr>
          <w:rFonts w:asciiTheme="minorHAnsi" w:hAnsiTheme="minorHAnsi"/>
        </w:rPr>
        <w:t>Need advocacy to influence the system in HE</w:t>
      </w:r>
    </w:p>
    <w:p w:rsidR="00F500C7" w:rsidRPr="00A56531" w:rsidRDefault="00F500C7" w:rsidP="00F500C7">
      <w:pPr>
        <w:pStyle w:val="ListParagraph"/>
        <w:numPr>
          <w:ilvl w:val="0"/>
          <w:numId w:val="12"/>
        </w:numPr>
        <w:spacing w:before="0" w:after="200" w:line="276" w:lineRule="auto"/>
        <w:rPr>
          <w:rFonts w:asciiTheme="minorHAnsi" w:hAnsiTheme="minorHAnsi"/>
        </w:rPr>
      </w:pPr>
      <w:r w:rsidRPr="00A56531">
        <w:rPr>
          <w:rFonts w:asciiTheme="minorHAnsi" w:hAnsiTheme="minorHAnsi"/>
        </w:rPr>
        <w:t>Research links are needed</w:t>
      </w:r>
    </w:p>
    <w:p w:rsidR="00F500C7" w:rsidRPr="00A56531" w:rsidRDefault="00F500C7" w:rsidP="00F500C7">
      <w:pPr>
        <w:pStyle w:val="ListParagraph"/>
        <w:numPr>
          <w:ilvl w:val="0"/>
          <w:numId w:val="12"/>
        </w:numPr>
        <w:spacing w:before="0" w:after="200" w:line="276" w:lineRule="auto"/>
        <w:rPr>
          <w:rFonts w:asciiTheme="minorHAnsi" w:hAnsiTheme="minorHAnsi"/>
        </w:rPr>
      </w:pPr>
      <w:r w:rsidRPr="00A56531">
        <w:rPr>
          <w:rFonts w:asciiTheme="minorHAnsi" w:hAnsiTheme="minorHAnsi"/>
        </w:rPr>
        <w:t xml:space="preserve">Question ‘What’s relevant in the world that should be in my course’? needed to be posed to find a way in </w:t>
      </w:r>
    </w:p>
    <w:p w:rsidR="00F500C7" w:rsidRPr="00A56531" w:rsidRDefault="00F500C7" w:rsidP="00F500C7">
      <w:pPr>
        <w:rPr>
          <w:rFonts w:asciiTheme="minorHAnsi" w:hAnsiTheme="minorHAnsi"/>
          <w:b/>
        </w:rPr>
      </w:pPr>
      <w:r w:rsidRPr="00A56531">
        <w:rPr>
          <w:rFonts w:asciiTheme="minorHAnsi" w:hAnsiTheme="minorHAnsi"/>
          <w:b/>
        </w:rPr>
        <w:t>Engaging a broader audience with approaches and language</w:t>
      </w:r>
    </w:p>
    <w:p w:rsidR="00A56531" w:rsidRPr="00A56531" w:rsidRDefault="00A56531" w:rsidP="00A56531">
      <w:pPr>
        <w:pStyle w:val="ListParagraph"/>
        <w:numPr>
          <w:ilvl w:val="0"/>
          <w:numId w:val="13"/>
        </w:numPr>
        <w:spacing w:before="0" w:after="200" w:line="276" w:lineRule="auto"/>
        <w:rPr>
          <w:rFonts w:asciiTheme="minorHAnsi" w:hAnsiTheme="minorHAnsi"/>
        </w:rPr>
      </w:pPr>
      <w:r w:rsidRPr="00A56531">
        <w:rPr>
          <w:rFonts w:asciiTheme="minorHAnsi" w:hAnsiTheme="minorHAnsi"/>
        </w:rPr>
        <w:lastRenderedPageBreak/>
        <w:t>OFSTED criteria; CPD; Curriculum content</w:t>
      </w:r>
    </w:p>
    <w:p w:rsidR="00A56531" w:rsidRPr="00A56531" w:rsidRDefault="00A56531" w:rsidP="00A56531">
      <w:pPr>
        <w:pStyle w:val="ListParagraph"/>
        <w:numPr>
          <w:ilvl w:val="0"/>
          <w:numId w:val="13"/>
        </w:numPr>
        <w:spacing w:before="0" w:after="200" w:line="276" w:lineRule="auto"/>
        <w:rPr>
          <w:rFonts w:asciiTheme="minorHAnsi" w:hAnsiTheme="minorHAnsi"/>
        </w:rPr>
      </w:pPr>
      <w:r w:rsidRPr="00A56531">
        <w:rPr>
          <w:rFonts w:asciiTheme="minorHAnsi" w:hAnsiTheme="minorHAnsi"/>
        </w:rPr>
        <w:t>Language is a problem. Still struggling with the terminology of sustainability</w:t>
      </w:r>
    </w:p>
    <w:p w:rsidR="00A56531" w:rsidRPr="00A56531" w:rsidRDefault="00A56531" w:rsidP="00A56531">
      <w:pPr>
        <w:pStyle w:val="ListParagraph"/>
        <w:numPr>
          <w:ilvl w:val="0"/>
          <w:numId w:val="13"/>
        </w:numPr>
        <w:spacing w:before="0" w:after="200" w:line="276" w:lineRule="auto"/>
        <w:rPr>
          <w:rFonts w:asciiTheme="minorHAnsi" w:hAnsiTheme="minorHAnsi"/>
        </w:rPr>
      </w:pPr>
      <w:r w:rsidRPr="00A56531">
        <w:rPr>
          <w:rFonts w:asciiTheme="minorHAnsi" w:hAnsiTheme="minorHAnsi"/>
        </w:rPr>
        <w:t>Resistance in schools to labels</w:t>
      </w:r>
    </w:p>
    <w:p w:rsidR="00A56531" w:rsidRPr="00A56531" w:rsidRDefault="00A56531" w:rsidP="00A56531">
      <w:pPr>
        <w:pStyle w:val="ListParagraph"/>
        <w:numPr>
          <w:ilvl w:val="0"/>
          <w:numId w:val="13"/>
        </w:numPr>
        <w:spacing w:before="0" w:after="200" w:line="276" w:lineRule="auto"/>
        <w:rPr>
          <w:rFonts w:asciiTheme="minorHAnsi" w:hAnsiTheme="minorHAnsi"/>
        </w:rPr>
      </w:pPr>
      <w:r w:rsidRPr="00A56531">
        <w:rPr>
          <w:rFonts w:asciiTheme="minorHAnsi" w:hAnsiTheme="minorHAnsi"/>
        </w:rPr>
        <w:t>Is  it ‘values’?</w:t>
      </w:r>
    </w:p>
    <w:p w:rsidR="00A56531" w:rsidRPr="00A56531" w:rsidRDefault="00A56531" w:rsidP="00A56531">
      <w:pPr>
        <w:pStyle w:val="ListParagraph"/>
        <w:numPr>
          <w:ilvl w:val="0"/>
          <w:numId w:val="13"/>
        </w:numPr>
        <w:spacing w:before="0" w:after="200" w:line="276" w:lineRule="auto"/>
        <w:rPr>
          <w:rFonts w:asciiTheme="minorHAnsi" w:hAnsiTheme="minorHAnsi"/>
        </w:rPr>
      </w:pPr>
      <w:r w:rsidRPr="00A56531">
        <w:rPr>
          <w:rFonts w:asciiTheme="minorHAnsi" w:hAnsiTheme="minorHAnsi"/>
        </w:rPr>
        <w:t>Does the term ‘Green’ put people off?</w:t>
      </w:r>
    </w:p>
    <w:p w:rsidR="00A56531" w:rsidRPr="00A56531" w:rsidRDefault="00A56531" w:rsidP="00A56531">
      <w:pPr>
        <w:pStyle w:val="ListParagraph"/>
        <w:numPr>
          <w:ilvl w:val="0"/>
          <w:numId w:val="13"/>
        </w:numPr>
        <w:spacing w:before="0" w:after="200" w:line="276" w:lineRule="auto"/>
        <w:rPr>
          <w:rFonts w:asciiTheme="minorHAnsi" w:hAnsiTheme="minorHAnsi"/>
        </w:rPr>
      </w:pPr>
      <w:r w:rsidRPr="00A56531">
        <w:rPr>
          <w:rFonts w:asciiTheme="minorHAnsi" w:hAnsiTheme="minorHAnsi"/>
        </w:rPr>
        <w:t>Building projects and partnerships</w:t>
      </w:r>
    </w:p>
    <w:p w:rsidR="00A56531" w:rsidRPr="00A56531" w:rsidRDefault="00A56531" w:rsidP="00A56531">
      <w:pPr>
        <w:pStyle w:val="ListParagraph"/>
        <w:numPr>
          <w:ilvl w:val="0"/>
          <w:numId w:val="13"/>
        </w:numPr>
        <w:spacing w:before="0" w:after="200" w:line="276" w:lineRule="auto"/>
        <w:rPr>
          <w:rFonts w:asciiTheme="minorHAnsi" w:hAnsiTheme="minorHAnsi"/>
        </w:rPr>
      </w:pPr>
      <w:r w:rsidRPr="00A56531">
        <w:rPr>
          <w:rFonts w:asciiTheme="minorHAnsi" w:hAnsiTheme="minorHAnsi"/>
        </w:rPr>
        <w:t>Long term process and not stand alone</w:t>
      </w:r>
    </w:p>
    <w:p w:rsidR="00A56531" w:rsidRPr="00A56531" w:rsidRDefault="00A56531" w:rsidP="00A56531">
      <w:pPr>
        <w:pStyle w:val="ListParagraph"/>
        <w:numPr>
          <w:ilvl w:val="0"/>
          <w:numId w:val="13"/>
        </w:numPr>
        <w:spacing w:before="0" w:after="200" w:line="276" w:lineRule="auto"/>
        <w:rPr>
          <w:rFonts w:asciiTheme="minorHAnsi" w:hAnsiTheme="minorHAnsi"/>
        </w:rPr>
      </w:pPr>
      <w:r w:rsidRPr="00A56531">
        <w:rPr>
          <w:rFonts w:asciiTheme="minorHAnsi" w:hAnsiTheme="minorHAnsi"/>
        </w:rPr>
        <w:t>Differing training methods- a barrier?</w:t>
      </w:r>
    </w:p>
    <w:p w:rsidR="00A56531" w:rsidRPr="00A56531" w:rsidRDefault="00A56531" w:rsidP="00A56531">
      <w:pPr>
        <w:pStyle w:val="ListParagraph"/>
        <w:numPr>
          <w:ilvl w:val="0"/>
          <w:numId w:val="13"/>
        </w:numPr>
        <w:spacing w:before="0" w:after="200" w:line="276" w:lineRule="auto"/>
        <w:rPr>
          <w:rFonts w:asciiTheme="minorHAnsi" w:hAnsiTheme="minorHAnsi"/>
        </w:rPr>
      </w:pPr>
      <w:r w:rsidRPr="00A56531">
        <w:rPr>
          <w:rFonts w:asciiTheme="minorHAnsi" w:hAnsiTheme="minorHAnsi"/>
        </w:rPr>
        <w:t>Singapore model?</w:t>
      </w:r>
    </w:p>
    <w:p w:rsidR="00F500C7" w:rsidRPr="00A56531" w:rsidRDefault="00F500C7" w:rsidP="00F500C7">
      <w:pPr>
        <w:pStyle w:val="ListParagraph"/>
        <w:numPr>
          <w:ilvl w:val="0"/>
          <w:numId w:val="13"/>
        </w:numPr>
        <w:spacing w:before="0" w:after="200" w:line="276" w:lineRule="auto"/>
        <w:rPr>
          <w:rFonts w:asciiTheme="minorHAnsi" w:hAnsiTheme="minorHAnsi"/>
        </w:rPr>
      </w:pPr>
      <w:r w:rsidRPr="00A56531">
        <w:rPr>
          <w:rFonts w:asciiTheme="minorHAnsi" w:hAnsiTheme="minorHAnsi"/>
        </w:rPr>
        <w:t>Use real life themes eg foodbanks</w:t>
      </w:r>
    </w:p>
    <w:p w:rsidR="00F500C7" w:rsidRPr="00A56531" w:rsidRDefault="00F500C7" w:rsidP="00F500C7">
      <w:pPr>
        <w:rPr>
          <w:rFonts w:asciiTheme="minorHAnsi" w:hAnsiTheme="minorHAnsi"/>
          <w:b/>
        </w:rPr>
      </w:pPr>
      <w:r w:rsidRPr="00A56531">
        <w:rPr>
          <w:rFonts w:asciiTheme="minorHAnsi" w:hAnsiTheme="minorHAnsi"/>
          <w:b/>
        </w:rPr>
        <w:t>Developing a Framework for Supporting Educators</w:t>
      </w:r>
    </w:p>
    <w:p w:rsidR="00F500C7" w:rsidRPr="00A56531" w:rsidRDefault="00F500C7" w:rsidP="00F500C7">
      <w:pPr>
        <w:pStyle w:val="ListParagraph"/>
        <w:numPr>
          <w:ilvl w:val="0"/>
          <w:numId w:val="13"/>
        </w:numPr>
        <w:spacing w:before="0" w:after="200" w:line="276" w:lineRule="auto"/>
        <w:rPr>
          <w:rFonts w:asciiTheme="minorHAnsi" w:hAnsiTheme="minorHAnsi"/>
        </w:rPr>
      </w:pPr>
      <w:r w:rsidRPr="00A56531">
        <w:rPr>
          <w:rFonts w:asciiTheme="minorHAnsi" w:hAnsiTheme="minorHAnsi"/>
        </w:rPr>
        <w:t>This should include the principles/values underpinning ESD/GC</w:t>
      </w:r>
    </w:p>
    <w:p w:rsidR="00F500C7" w:rsidRPr="00A56531" w:rsidRDefault="00F500C7" w:rsidP="00F500C7">
      <w:pPr>
        <w:pStyle w:val="ListParagraph"/>
        <w:numPr>
          <w:ilvl w:val="0"/>
          <w:numId w:val="13"/>
        </w:numPr>
        <w:spacing w:before="0" w:after="200" w:line="276" w:lineRule="auto"/>
        <w:rPr>
          <w:rFonts w:asciiTheme="minorHAnsi" w:hAnsiTheme="minorHAnsi"/>
        </w:rPr>
      </w:pPr>
      <w:r w:rsidRPr="00A56531">
        <w:rPr>
          <w:rFonts w:asciiTheme="minorHAnsi" w:hAnsiTheme="minorHAnsi"/>
        </w:rPr>
        <w:t>Build on existing resources</w:t>
      </w:r>
    </w:p>
    <w:p w:rsidR="00F500C7" w:rsidRPr="00A56531" w:rsidRDefault="00F500C7" w:rsidP="00F500C7">
      <w:pPr>
        <w:pStyle w:val="ListParagraph"/>
        <w:numPr>
          <w:ilvl w:val="0"/>
          <w:numId w:val="13"/>
        </w:numPr>
        <w:spacing w:before="0" w:after="200" w:line="276" w:lineRule="auto"/>
        <w:rPr>
          <w:rFonts w:asciiTheme="minorHAnsi" w:hAnsiTheme="minorHAnsi"/>
        </w:rPr>
      </w:pPr>
      <w:r w:rsidRPr="00A56531">
        <w:rPr>
          <w:rFonts w:asciiTheme="minorHAnsi" w:hAnsiTheme="minorHAnsi"/>
        </w:rPr>
        <w:t>Produce a generic tool</w:t>
      </w:r>
      <w:r w:rsidR="00A56531">
        <w:rPr>
          <w:rFonts w:asciiTheme="minorHAnsi" w:hAnsiTheme="minorHAnsi"/>
        </w:rPr>
        <w:t>, there are existing examples eg GTCS tool</w:t>
      </w:r>
    </w:p>
    <w:p w:rsidR="00F500C7" w:rsidRPr="00A56531" w:rsidRDefault="00F500C7" w:rsidP="00F500C7">
      <w:pPr>
        <w:pStyle w:val="ListParagraph"/>
        <w:numPr>
          <w:ilvl w:val="0"/>
          <w:numId w:val="13"/>
        </w:numPr>
        <w:spacing w:before="0" w:after="200" w:line="276" w:lineRule="auto"/>
        <w:rPr>
          <w:rFonts w:asciiTheme="minorHAnsi" w:hAnsiTheme="minorHAnsi"/>
        </w:rPr>
      </w:pPr>
      <w:r w:rsidRPr="00A56531">
        <w:rPr>
          <w:rFonts w:asciiTheme="minorHAnsi" w:hAnsiTheme="minorHAnsi"/>
        </w:rPr>
        <w:t>Research stimulus?</w:t>
      </w:r>
    </w:p>
    <w:p w:rsidR="00F500C7" w:rsidRPr="00A56531" w:rsidRDefault="00F500C7" w:rsidP="00F500C7">
      <w:pPr>
        <w:rPr>
          <w:rFonts w:asciiTheme="minorHAnsi" w:hAnsiTheme="minorHAnsi"/>
          <w:b/>
        </w:rPr>
      </w:pPr>
      <w:r w:rsidRPr="00A56531">
        <w:rPr>
          <w:rFonts w:asciiTheme="minorHAnsi" w:hAnsiTheme="minorHAnsi"/>
          <w:b/>
        </w:rPr>
        <w:t>Opportunities for collaboration/research</w:t>
      </w:r>
    </w:p>
    <w:p w:rsidR="00F500C7" w:rsidRPr="00A56531" w:rsidRDefault="00F500C7" w:rsidP="00F500C7">
      <w:pPr>
        <w:pStyle w:val="ListParagraph"/>
        <w:numPr>
          <w:ilvl w:val="0"/>
          <w:numId w:val="14"/>
        </w:numPr>
        <w:spacing w:before="0" w:after="200" w:line="276" w:lineRule="auto"/>
        <w:rPr>
          <w:rFonts w:asciiTheme="minorHAnsi" w:hAnsiTheme="minorHAnsi"/>
        </w:rPr>
      </w:pPr>
      <w:r w:rsidRPr="00A56531">
        <w:rPr>
          <w:rFonts w:asciiTheme="minorHAnsi" w:hAnsiTheme="minorHAnsi"/>
        </w:rPr>
        <w:t>Measuring the impact on ITE students across UK</w:t>
      </w:r>
    </w:p>
    <w:p w:rsidR="00F500C7" w:rsidRPr="00A56531" w:rsidRDefault="00F500C7" w:rsidP="00F500C7">
      <w:pPr>
        <w:pStyle w:val="ListParagraph"/>
        <w:numPr>
          <w:ilvl w:val="0"/>
          <w:numId w:val="14"/>
        </w:numPr>
        <w:spacing w:before="0" w:after="200" w:line="276" w:lineRule="auto"/>
        <w:rPr>
          <w:rFonts w:asciiTheme="minorHAnsi" w:hAnsiTheme="minorHAnsi"/>
        </w:rPr>
      </w:pPr>
      <w:r w:rsidRPr="00A56531">
        <w:rPr>
          <w:rFonts w:asciiTheme="minorHAnsi" w:hAnsiTheme="minorHAnsi"/>
        </w:rPr>
        <w:t>Funding via links with business (eg UKSSD?),  EuropAid,  TEESNet members</w:t>
      </w:r>
    </w:p>
    <w:p w:rsidR="00F500C7" w:rsidRPr="00683165" w:rsidRDefault="00F500C7" w:rsidP="00683165">
      <w:pPr>
        <w:spacing w:before="0"/>
        <w:rPr>
          <w:rFonts w:asciiTheme="minorHAnsi" w:hAnsiTheme="minorHAnsi"/>
        </w:rPr>
      </w:pPr>
    </w:p>
    <w:sectPr w:rsidR="00F500C7" w:rsidRPr="00683165" w:rsidSect="00461040">
      <w:footerReference w:type="default" r:id="rId1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38E" w:rsidRDefault="00CA738E" w:rsidP="001002E5">
      <w:pPr>
        <w:spacing w:before="0"/>
      </w:pPr>
      <w:r>
        <w:separator/>
      </w:r>
    </w:p>
  </w:endnote>
  <w:endnote w:type="continuationSeparator" w:id="0">
    <w:p w:rsidR="00CA738E" w:rsidRDefault="00CA738E" w:rsidP="001002E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PGothic">
    <w:panose1 w:val="020B0600070205080204"/>
    <w:charset w:val="80"/>
    <w:family w:val="swiss"/>
    <w:pitch w:val="variable"/>
    <w:sig w:usb0="E00002FF" w:usb1="6AC7FDFB" w:usb2="00000012" w:usb3="00000000" w:csb0="0002009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833916"/>
      <w:docPartObj>
        <w:docPartGallery w:val="Page Numbers (Bottom of Page)"/>
        <w:docPartUnique/>
      </w:docPartObj>
    </w:sdtPr>
    <w:sdtEndPr>
      <w:rPr>
        <w:noProof/>
      </w:rPr>
    </w:sdtEndPr>
    <w:sdtContent>
      <w:p w:rsidR="00365996" w:rsidRDefault="00365996">
        <w:pPr>
          <w:pStyle w:val="Footer"/>
          <w:jc w:val="right"/>
        </w:pPr>
        <w:r>
          <w:fldChar w:fldCharType="begin"/>
        </w:r>
        <w:r>
          <w:instrText xml:space="preserve"> PAGE   \* MERGEFORMAT </w:instrText>
        </w:r>
        <w:r>
          <w:fldChar w:fldCharType="separate"/>
        </w:r>
        <w:r w:rsidR="007C10BA">
          <w:rPr>
            <w:noProof/>
          </w:rPr>
          <w:t>2</w:t>
        </w:r>
        <w:r>
          <w:rPr>
            <w:noProof/>
          </w:rPr>
          <w:fldChar w:fldCharType="end"/>
        </w:r>
      </w:p>
    </w:sdtContent>
  </w:sdt>
  <w:p w:rsidR="00365996" w:rsidRDefault="003659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38E" w:rsidRDefault="00CA738E" w:rsidP="001002E5">
      <w:pPr>
        <w:spacing w:before="0"/>
      </w:pPr>
      <w:r>
        <w:separator/>
      </w:r>
    </w:p>
  </w:footnote>
  <w:footnote w:type="continuationSeparator" w:id="0">
    <w:p w:rsidR="00CA738E" w:rsidRDefault="00CA738E" w:rsidP="001002E5">
      <w:pPr>
        <w:spacing w:before="0"/>
      </w:pPr>
      <w:r>
        <w:continuationSeparator/>
      </w:r>
    </w:p>
  </w:footnote>
  <w:footnote w:id="1">
    <w:p w:rsidR="00F47F1D" w:rsidRDefault="00F47F1D" w:rsidP="00746DAF">
      <w:pPr>
        <w:pStyle w:val="NormalWeb"/>
        <w:kinsoku w:val="0"/>
        <w:overflowPunct w:val="0"/>
        <w:spacing w:before="0" w:beforeAutospacing="0" w:after="0" w:afterAutospacing="0"/>
        <w:textAlignment w:val="baseline"/>
      </w:pPr>
      <w:r>
        <w:rPr>
          <w:rStyle w:val="FootnoteReference"/>
        </w:rPr>
        <w:footnoteRef/>
      </w:r>
      <w:r>
        <w:t xml:space="preserve"> </w:t>
      </w:r>
      <w:r w:rsidRPr="00271187">
        <w:rPr>
          <w:rFonts w:asciiTheme="minorHAnsi" w:eastAsia="MS PGothic" w:hAnsiTheme="minorHAnsi" w:cstheme="minorBidi"/>
          <w:color w:val="000000" w:themeColor="text1"/>
          <w:kern w:val="24"/>
          <w:sz w:val="18"/>
          <w:szCs w:val="18"/>
          <w:lang w:val="en-US"/>
        </w:rPr>
        <w:t>Hunt et al 2011 Taking Stock: A Report from the UK Teacher Education Network for Sustainable Development (ESD)/ Global Citizenship (GC) Survey on Provision for ESD/GC in Initial Teacher Education</w:t>
      </w:r>
    </w:p>
  </w:footnote>
  <w:footnote w:id="2">
    <w:p w:rsidR="00271187" w:rsidRPr="00271187" w:rsidRDefault="00271187">
      <w:pPr>
        <w:pStyle w:val="FootnoteText"/>
        <w:rPr>
          <w:rFonts w:asciiTheme="minorHAnsi" w:hAnsiTheme="minorHAnsi"/>
          <w:sz w:val="18"/>
          <w:szCs w:val="18"/>
        </w:rPr>
      </w:pPr>
      <w:r w:rsidRPr="00271187">
        <w:rPr>
          <w:rStyle w:val="FootnoteReference"/>
          <w:rFonts w:asciiTheme="minorHAnsi" w:hAnsiTheme="minorHAnsi"/>
          <w:sz w:val="18"/>
          <w:szCs w:val="18"/>
        </w:rPr>
        <w:footnoteRef/>
      </w:r>
      <w:r w:rsidRPr="00271187">
        <w:rPr>
          <w:rFonts w:asciiTheme="minorHAnsi" w:hAnsiTheme="minorHAnsi"/>
          <w:sz w:val="18"/>
          <w:szCs w:val="18"/>
        </w:rPr>
        <w:t xml:space="preserve"> </w:t>
      </w:r>
      <w:r w:rsidRPr="00271187">
        <w:rPr>
          <w:rFonts w:asciiTheme="minorHAnsi" w:hAnsiTheme="minorHAnsi"/>
          <w:sz w:val="18"/>
          <w:szCs w:val="18"/>
          <w:lang w:val="en"/>
        </w:rPr>
        <w:t>Bamber, P. et al (2016) A comparative review of policy and practice for Education for Sustainable Development / Global Citizenship in teacher education across the 4 nations of the UK. Journal of Management in Education, 30 (3) pp. 112-120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5880"/>
    <w:multiLevelType w:val="hybridMultilevel"/>
    <w:tmpl w:val="676E5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700EE"/>
    <w:multiLevelType w:val="hybridMultilevel"/>
    <w:tmpl w:val="C6401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AB3623"/>
    <w:multiLevelType w:val="hybridMultilevel"/>
    <w:tmpl w:val="19D6AFF0"/>
    <w:lvl w:ilvl="0" w:tplc="3F368886">
      <w:start w:val="1"/>
      <w:numFmt w:val="decimal"/>
      <w:lvlText w:val="%1."/>
      <w:lvlJc w:val="left"/>
      <w:pPr>
        <w:ind w:left="720" w:hanging="360"/>
      </w:pPr>
      <w:rPr>
        <w:rFonts w:eastAsia="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F43EFD"/>
    <w:multiLevelType w:val="hybridMultilevel"/>
    <w:tmpl w:val="5030D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E82ABB"/>
    <w:multiLevelType w:val="hybridMultilevel"/>
    <w:tmpl w:val="16C83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EA4161"/>
    <w:multiLevelType w:val="hybridMultilevel"/>
    <w:tmpl w:val="F490F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8764C6"/>
    <w:multiLevelType w:val="hybridMultilevel"/>
    <w:tmpl w:val="734E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4536BC"/>
    <w:multiLevelType w:val="hybridMultilevel"/>
    <w:tmpl w:val="06A2B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8F3ED4"/>
    <w:multiLevelType w:val="hybridMultilevel"/>
    <w:tmpl w:val="1D04A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124224"/>
    <w:multiLevelType w:val="hybridMultilevel"/>
    <w:tmpl w:val="1C844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1011E3"/>
    <w:multiLevelType w:val="hybridMultilevel"/>
    <w:tmpl w:val="D5D27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DB1C11"/>
    <w:multiLevelType w:val="hybridMultilevel"/>
    <w:tmpl w:val="E68E6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0D3A66"/>
    <w:multiLevelType w:val="hybridMultilevel"/>
    <w:tmpl w:val="33FA6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3F4661"/>
    <w:multiLevelType w:val="hybridMultilevel"/>
    <w:tmpl w:val="6BE6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DE7323"/>
    <w:multiLevelType w:val="hybridMultilevel"/>
    <w:tmpl w:val="BAC8F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14"/>
  </w:num>
  <w:num w:numId="5">
    <w:abstractNumId w:val="13"/>
  </w:num>
  <w:num w:numId="6">
    <w:abstractNumId w:val="4"/>
  </w:num>
  <w:num w:numId="7">
    <w:abstractNumId w:val="5"/>
  </w:num>
  <w:num w:numId="8">
    <w:abstractNumId w:val="8"/>
  </w:num>
  <w:num w:numId="9">
    <w:abstractNumId w:val="3"/>
  </w:num>
  <w:num w:numId="10">
    <w:abstractNumId w:val="1"/>
  </w:num>
  <w:num w:numId="11">
    <w:abstractNumId w:val="6"/>
  </w:num>
  <w:num w:numId="12">
    <w:abstractNumId w:val="9"/>
  </w:num>
  <w:num w:numId="13">
    <w:abstractNumId w:val="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2E5"/>
    <w:rsid w:val="0008413C"/>
    <w:rsid w:val="000E1B6E"/>
    <w:rsid w:val="000E3E0C"/>
    <w:rsid w:val="000F0E0A"/>
    <w:rsid w:val="001002E5"/>
    <w:rsid w:val="001435C4"/>
    <w:rsid w:val="00164411"/>
    <w:rsid w:val="001D4239"/>
    <w:rsid w:val="001F53F4"/>
    <w:rsid w:val="00214385"/>
    <w:rsid w:val="00260CC8"/>
    <w:rsid w:val="00271187"/>
    <w:rsid w:val="002C5BD1"/>
    <w:rsid w:val="00365996"/>
    <w:rsid w:val="004007FD"/>
    <w:rsid w:val="0042276B"/>
    <w:rsid w:val="00461040"/>
    <w:rsid w:val="004746F5"/>
    <w:rsid w:val="00514AFF"/>
    <w:rsid w:val="0068069A"/>
    <w:rsid w:val="00683165"/>
    <w:rsid w:val="0069699D"/>
    <w:rsid w:val="007144C6"/>
    <w:rsid w:val="00746DAF"/>
    <w:rsid w:val="007C10BA"/>
    <w:rsid w:val="007E7761"/>
    <w:rsid w:val="00932F60"/>
    <w:rsid w:val="00966E40"/>
    <w:rsid w:val="00974BB5"/>
    <w:rsid w:val="00A56531"/>
    <w:rsid w:val="00AF0F2E"/>
    <w:rsid w:val="00B2154A"/>
    <w:rsid w:val="00B4346B"/>
    <w:rsid w:val="00B438F0"/>
    <w:rsid w:val="00B4714D"/>
    <w:rsid w:val="00B91ECA"/>
    <w:rsid w:val="00BA0C2A"/>
    <w:rsid w:val="00C7667C"/>
    <w:rsid w:val="00CA738E"/>
    <w:rsid w:val="00CE3F73"/>
    <w:rsid w:val="00D95AB7"/>
    <w:rsid w:val="00DD2595"/>
    <w:rsid w:val="00E00B49"/>
    <w:rsid w:val="00E15165"/>
    <w:rsid w:val="00E773EA"/>
    <w:rsid w:val="00F47F1D"/>
    <w:rsid w:val="00F500C7"/>
    <w:rsid w:val="00F91EFB"/>
    <w:rsid w:val="00FB7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2E5"/>
    <w:pPr>
      <w:spacing w:before="200"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00B49"/>
    <w:pPr>
      <w:spacing w:before="0" w:line="300" w:lineRule="auto"/>
      <w:outlineLvl w:val="0"/>
    </w:pPr>
    <w:rPr>
      <w:rFonts w:ascii="Helvetica" w:eastAsiaTheme="minorHAnsi" w:hAnsi="Helvetica"/>
      <w:b/>
      <w:bCs/>
      <w:color w:val="202020"/>
      <w:kern w:val="36"/>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2E5"/>
    <w:pPr>
      <w:tabs>
        <w:tab w:val="center" w:pos="4513"/>
        <w:tab w:val="right" w:pos="9026"/>
      </w:tabs>
      <w:spacing w:before="0"/>
    </w:pPr>
  </w:style>
  <w:style w:type="character" w:customStyle="1" w:styleId="HeaderChar">
    <w:name w:val="Header Char"/>
    <w:basedOn w:val="DefaultParagraphFont"/>
    <w:link w:val="Header"/>
    <w:uiPriority w:val="99"/>
    <w:rsid w:val="001002E5"/>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1002E5"/>
    <w:pPr>
      <w:pBdr>
        <w:bottom w:val="single" w:sz="4" w:space="4" w:color="4F81BD"/>
      </w:pBdr>
      <w:spacing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basedOn w:val="DefaultParagraphFont"/>
    <w:link w:val="IntenseQuote"/>
    <w:uiPriority w:val="30"/>
    <w:rsid w:val="001002E5"/>
    <w:rPr>
      <w:rFonts w:ascii="Calibri" w:eastAsia="Calibri" w:hAnsi="Calibri" w:cs="Times New Roman"/>
      <w:b/>
      <w:bCs/>
      <w:i/>
      <w:iCs/>
      <w:color w:val="4F81BD"/>
    </w:rPr>
  </w:style>
  <w:style w:type="paragraph" w:styleId="Footer">
    <w:name w:val="footer"/>
    <w:basedOn w:val="Normal"/>
    <w:link w:val="FooterChar"/>
    <w:uiPriority w:val="99"/>
    <w:unhideWhenUsed/>
    <w:rsid w:val="001002E5"/>
    <w:pPr>
      <w:tabs>
        <w:tab w:val="center" w:pos="4513"/>
        <w:tab w:val="right" w:pos="9026"/>
      </w:tabs>
      <w:spacing w:before="0"/>
    </w:pPr>
  </w:style>
  <w:style w:type="character" w:customStyle="1" w:styleId="FooterChar">
    <w:name w:val="Footer Char"/>
    <w:basedOn w:val="DefaultParagraphFont"/>
    <w:link w:val="Footer"/>
    <w:uiPriority w:val="99"/>
    <w:rsid w:val="001002E5"/>
    <w:rPr>
      <w:rFonts w:ascii="Times New Roman" w:eastAsia="Times New Roman" w:hAnsi="Times New Roman" w:cs="Times New Roman"/>
      <w:sz w:val="24"/>
      <w:szCs w:val="24"/>
    </w:rPr>
  </w:style>
  <w:style w:type="paragraph" w:styleId="ListParagraph">
    <w:name w:val="List Paragraph"/>
    <w:basedOn w:val="Normal"/>
    <w:uiPriority w:val="34"/>
    <w:qFormat/>
    <w:rsid w:val="00932F60"/>
    <w:pPr>
      <w:ind w:left="720"/>
      <w:contextualSpacing/>
    </w:pPr>
  </w:style>
  <w:style w:type="character" w:styleId="Hyperlink">
    <w:name w:val="Hyperlink"/>
    <w:basedOn w:val="DefaultParagraphFont"/>
    <w:uiPriority w:val="99"/>
    <w:unhideWhenUsed/>
    <w:rsid w:val="00214385"/>
    <w:rPr>
      <w:color w:val="0563C1" w:themeColor="hyperlink"/>
      <w:u w:val="single"/>
    </w:rPr>
  </w:style>
  <w:style w:type="character" w:customStyle="1" w:styleId="Heading1Char">
    <w:name w:val="Heading 1 Char"/>
    <w:basedOn w:val="DefaultParagraphFont"/>
    <w:link w:val="Heading1"/>
    <w:uiPriority w:val="9"/>
    <w:rsid w:val="00E00B49"/>
    <w:rPr>
      <w:rFonts w:ascii="Helvetica" w:hAnsi="Helvetica" w:cs="Times New Roman"/>
      <w:b/>
      <w:bCs/>
      <w:color w:val="202020"/>
      <w:kern w:val="36"/>
      <w:sz w:val="39"/>
      <w:szCs w:val="39"/>
      <w:lang w:eastAsia="en-GB"/>
    </w:rPr>
  </w:style>
  <w:style w:type="character" w:styleId="Strong">
    <w:name w:val="Strong"/>
    <w:basedOn w:val="DefaultParagraphFont"/>
    <w:uiPriority w:val="22"/>
    <w:qFormat/>
    <w:rsid w:val="00E00B49"/>
    <w:rPr>
      <w:b/>
      <w:bCs/>
    </w:rPr>
  </w:style>
  <w:style w:type="paragraph" w:styleId="BalloonText">
    <w:name w:val="Balloon Text"/>
    <w:basedOn w:val="Normal"/>
    <w:link w:val="BalloonTextChar"/>
    <w:uiPriority w:val="99"/>
    <w:semiHidden/>
    <w:unhideWhenUsed/>
    <w:rsid w:val="007144C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4C6"/>
    <w:rPr>
      <w:rFonts w:ascii="Tahoma" w:eastAsia="Times New Roman" w:hAnsi="Tahoma" w:cs="Tahoma"/>
      <w:sz w:val="16"/>
      <w:szCs w:val="16"/>
    </w:rPr>
  </w:style>
  <w:style w:type="paragraph" w:styleId="NormalWeb">
    <w:name w:val="Normal (Web)"/>
    <w:basedOn w:val="Normal"/>
    <w:uiPriority w:val="99"/>
    <w:unhideWhenUsed/>
    <w:rsid w:val="00F47F1D"/>
    <w:pPr>
      <w:spacing w:before="100" w:beforeAutospacing="1" w:after="100" w:afterAutospacing="1"/>
    </w:pPr>
    <w:rPr>
      <w:lang w:eastAsia="en-GB"/>
    </w:rPr>
  </w:style>
  <w:style w:type="paragraph" w:styleId="FootnoteText">
    <w:name w:val="footnote text"/>
    <w:basedOn w:val="Normal"/>
    <w:link w:val="FootnoteTextChar"/>
    <w:uiPriority w:val="99"/>
    <w:semiHidden/>
    <w:unhideWhenUsed/>
    <w:rsid w:val="00F47F1D"/>
    <w:pPr>
      <w:spacing w:before="0"/>
    </w:pPr>
    <w:rPr>
      <w:sz w:val="20"/>
      <w:szCs w:val="20"/>
    </w:rPr>
  </w:style>
  <w:style w:type="character" w:customStyle="1" w:styleId="FootnoteTextChar">
    <w:name w:val="Footnote Text Char"/>
    <w:basedOn w:val="DefaultParagraphFont"/>
    <w:link w:val="FootnoteText"/>
    <w:uiPriority w:val="99"/>
    <w:semiHidden/>
    <w:rsid w:val="00F47F1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47F1D"/>
    <w:rPr>
      <w:vertAlign w:val="superscript"/>
    </w:rPr>
  </w:style>
  <w:style w:type="paragraph" w:styleId="Title">
    <w:name w:val="Title"/>
    <w:basedOn w:val="Normal"/>
    <w:next w:val="Normal"/>
    <w:link w:val="TitleChar"/>
    <w:uiPriority w:val="10"/>
    <w:qFormat/>
    <w:rsid w:val="00260CC8"/>
    <w:pPr>
      <w:spacing w:before="120"/>
      <w:contextualSpacing/>
      <w:jc w:val="both"/>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260CC8"/>
    <w:rPr>
      <w:rFonts w:asciiTheme="majorHAnsi" w:eastAsiaTheme="majorEastAsia" w:hAnsiTheme="majorHAnsi" w:cstheme="majorBidi"/>
      <w:spacing w:val="-10"/>
      <w:kern w:val="28"/>
      <w:sz w:val="56"/>
      <w:szCs w:val="5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2E5"/>
    <w:pPr>
      <w:spacing w:before="200"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00B49"/>
    <w:pPr>
      <w:spacing w:before="0" w:line="300" w:lineRule="auto"/>
      <w:outlineLvl w:val="0"/>
    </w:pPr>
    <w:rPr>
      <w:rFonts w:ascii="Helvetica" w:eastAsiaTheme="minorHAnsi" w:hAnsi="Helvetica"/>
      <w:b/>
      <w:bCs/>
      <w:color w:val="202020"/>
      <w:kern w:val="36"/>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2E5"/>
    <w:pPr>
      <w:tabs>
        <w:tab w:val="center" w:pos="4513"/>
        <w:tab w:val="right" w:pos="9026"/>
      </w:tabs>
      <w:spacing w:before="0"/>
    </w:pPr>
  </w:style>
  <w:style w:type="character" w:customStyle="1" w:styleId="HeaderChar">
    <w:name w:val="Header Char"/>
    <w:basedOn w:val="DefaultParagraphFont"/>
    <w:link w:val="Header"/>
    <w:uiPriority w:val="99"/>
    <w:rsid w:val="001002E5"/>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1002E5"/>
    <w:pPr>
      <w:pBdr>
        <w:bottom w:val="single" w:sz="4" w:space="4" w:color="4F81BD"/>
      </w:pBdr>
      <w:spacing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basedOn w:val="DefaultParagraphFont"/>
    <w:link w:val="IntenseQuote"/>
    <w:uiPriority w:val="30"/>
    <w:rsid w:val="001002E5"/>
    <w:rPr>
      <w:rFonts w:ascii="Calibri" w:eastAsia="Calibri" w:hAnsi="Calibri" w:cs="Times New Roman"/>
      <w:b/>
      <w:bCs/>
      <w:i/>
      <w:iCs/>
      <w:color w:val="4F81BD"/>
    </w:rPr>
  </w:style>
  <w:style w:type="paragraph" w:styleId="Footer">
    <w:name w:val="footer"/>
    <w:basedOn w:val="Normal"/>
    <w:link w:val="FooterChar"/>
    <w:uiPriority w:val="99"/>
    <w:unhideWhenUsed/>
    <w:rsid w:val="001002E5"/>
    <w:pPr>
      <w:tabs>
        <w:tab w:val="center" w:pos="4513"/>
        <w:tab w:val="right" w:pos="9026"/>
      </w:tabs>
      <w:spacing w:before="0"/>
    </w:pPr>
  </w:style>
  <w:style w:type="character" w:customStyle="1" w:styleId="FooterChar">
    <w:name w:val="Footer Char"/>
    <w:basedOn w:val="DefaultParagraphFont"/>
    <w:link w:val="Footer"/>
    <w:uiPriority w:val="99"/>
    <w:rsid w:val="001002E5"/>
    <w:rPr>
      <w:rFonts w:ascii="Times New Roman" w:eastAsia="Times New Roman" w:hAnsi="Times New Roman" w:cs="Times New Roman"/>
      <w:sz w:val="24"/>
      <w:szCs w:val="24"/>
    </w:rPr>
  </w:style>
  <w:style w:type="paragraph" w:styleId="ListParagraph">
    <w:name w:val="List Paragraph"/>
    <w:basedOn w:val="Normal"/>
    <w:uiPriority w:val="34"/>
    <w:qFormat/>
    <w:rsid w:val="00932F60"/>
    <w:pPr>
      <w:ind w:left="720"/>
      <w:contextualSpacing/>
    </w:pPr>
  </w:style>
  <w:style w:type="character" w:styleId="Hyperlink">
    <w:name w:val="Hyperlink"/>
    <w:basedOn w:val="DefaultParagraphFont"/>
    <w:uiPriority w:val="99"/>
    <w:unhideWhenUsed/>
    <w:rsid w:val="00214385"/>
    <w:rPr>
      <w:color w:val="0563C1" w:themeColor="hyperlink"/>
      <w:u w:val="single"/>
    </w:rPr>
  </w:style>
  <w:style w:type="character" w:customStyle="1" w:styleId="Heading1Char">
    <w:name w:val="Heading 1 Char"/>
    <w:basedOn w:val="DefaultParagraphFont"/>
    <w:link w:val="Heading1"/>
    <w:uiPriority w:val="9"/>
    <w:rsid w:val="00E00B49"/>
    <w:rPr>
      <w:rFonts w:ascii="Helvetica" w:hAnsi="Helvetica" w:cs="Times New Roman"/>
      <w:b/>
      <w:bCs/>
      <w:color w:val="202020"/>
      <w:kern w:val="36"/>
      <w:sz w:val="39"/>
      <w:szCs w:val="39"/>
      <w:lang w:eastAsia="en-GB"/>
    </w:rPr>
  </w:style>
  <w:style w:type="character" w:styleId="Strong">
    <w:name w:val="Strong"/>
    <w:basedOn w:val="DefaultParagraphFont"/>
    <w:uiPriority w:val="22"/>
    <w:qFormat/>
    <w:rsid w:val="00E00B49"/>
    <w:rPr>
      <w:b/>
      <w:bCs/>
    </w:rPr>
  </w:style>
  <w:style w:type="paragraph" w:styleId="BalloonText">
    <w:name w:val="Balloon Text"/>
    <w:basedOn w:val="Normal"/>
    <w:link w:val="BalloonTextChar"/>
    <w:uiPriority w:val="99"/>
    <w:semiHidden/>
    <w:unhideWhenUsed/>
    <w:rsid w:val="007144C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4C6"/>
    <w:rPr>
      <w:rFonts w:ascii="Tahoma" w:eastAsia="Times New Roman" w:hAnsi="Tahoma" w:cs="Tahoma"/>
      <w:sz w:val="16"/>
      <w:szCs w:val="16"/>
    </w:rPr>
  </w:style>
  <w:style w:type="paragraph" w:styleId="NormalWeb">
    <w:name w:val="Normal (Web)"/>
    <w:basedOn w:val="Normal"/>
    <w:uiPriority w:val="99"/>
    <w:unhideWhenUsed/>
    <w:rsid w:val="00F47F1D"/>
    <w:pPr>
      <w:spacing w:before="100" w:beforeAutospacing="1" w:after="100" w:afterAutospacing="1"/>
    </w:pPr>
    <w:rPr>
      <w:lang w:eastAsia="en-GB"/>
    </w:rPr>
  </w:style>
  <w:style w:type="paragraph" w:styleId="FootnoteText">
    <w:name w:val="footnote text"/>
    <w:basedOn w:val="Normal"/>
    <w:link w:val="FootnoteTextChar"/>
    <w:uiPriority w:val="99"/>
    <w:semiHidden/>
    <w:unhideWhenUsed/>
    <w:rsid w:val="00F47F1D"/>
    <w:pPr>
      <w:spacing w:before="0"/>
    </w:pPr>
    <w:rPr>
      <w:sz w:val="20"/>
      <w:szCs w:val="20"/>
    </w:rPr>
  </w:style>
  <w:style w:type="character" w:customStyle="1" w:styleId="FootnoteTextChar">
    <w:name w:val="Footnote Text Char"/>
    <w:basedOn w:val="DefaultParagraphFont"/>
    <w:link w:val="FootnoteText"/>
    <w:uiPriority w:val="99"/>
    <w:semiHidden/>
    <w:rsid w:val="00F47F1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47F1D"/>
    <w:rPr>
      <w:vertAlign w:val="superscript"/>
    </w:rPr>
  </w:style>
  <w:style w:type="paragraph" w:styleId="Title">
    <w:name w:val="Title"/>
    <w:basedOn w:val="Normal"/>
    <w:next w:val="Normal"/>
    <w:link w:val="TitleChar"/>
    <w:uiPriority w:val="10"/>
    <w:qFormat/>
    <w:rsid w:val="00260CC8"/>
    <w:pPr>
      <w:spacing w:before="120"/>
      <w:contextualSpacing/>
      <w:jc w:val="both"/>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260CC8"/>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9531">
      <w:bodyDiv w:val="1"/>
      <w:marLeft w:val="0"/>
      <w:marRight w:val="0"/>
      <w:marTop w:val="0"/>
      <w:marBottom w:val="0"/>
      <w:divBdr>
        <w:top w:val="none" w:sz="0" w:space="0" w:color="auto"/>
        <w:left w:val="none" w:sz="0" w:space="0" w:color="auto"/>
        <w:bottom w:val="none" w:sz="0" w:space="0" w:color="auto"/>
        <w:right w:val="none" w:sz="0" w:space="0" w:color="auto"/>
      </w:divBdr>
    </w:div>
    <w:div w:id="466628026">
      <w:bodyDiv w:val="1"/>
      <w:marLeft w:val="0"/>
      <w:marRight w:val="0"/>
      <w:marTop w:val="0"/>
      <w:marBottom w:val="0"/>
      <w:divBdr>
        <w:top w:val="none" w:sz="0" w:space="0" w:color="auto"/>
        <w:left w:val="none" w:sz="0" w:space="0" w:color="auto"/>
        <w:bottom w:val="none" w:sz="0" w:space="0" w:color="auto"/>
        <w:right w:val="none" w:sz="0" w:space="0" w:color="auto"/>
      </w:divBdr>
    </w:div>
    <w:div w:id="673262151">
      <w:bodyDiv w:val="1"/>
      <w:marLeft w:val="0"/>
      <w:marRight w:val="0"/>
      <w:marTop w:val="0"/>
      <w:marBottom w:val="0"/>
      <w:divBdr>
        <w:top w:val="none" w:sz="0" w:space="0" w:color="auto"/>
        <w:left w:val="none" w:sz="0" w:space="0" w:color="auto"/>
        <w:bottom w:val="none" w:sz="0" w:space="0" w:color="auto"/>
        <w:right w:val="none" w:sz="0" w:space="0" w:color="auto"/>
      </w:divBdr>
    </w:div>
    <w:div w:id="796147211">
      <w:bodyDiv w:val="1"/>
      <w:marLeft w:val="0"/>
      <w:marRight w:val="0"/>
      <w:marTop w:val="0"/>
      <w:marBottom w:val="0"/>
      <w:divBdr>
        <w:top w:val="none" w:sz="0" w:space="0" w:color="auto"/>
        <w:left w:val="none" w:sz="0" w:space="0" w:color="auto"/>
        <w:bottom w:val="none" w:sz="0" w:space="0" w:color="auto"/>
        <w:right w:val="none" w:sz="0" w:space="0" w:color="auto"/>
      </w:divBdr>
    </w:div>
    <w:div w:id="1207062015">
      <w:bodyDiv w:val="1"/>
      <w:marLeft w:val="0"/>
      <w:marRight w:val="0"/>
      <w:marTop w:val="0"/>
      <w:marBottom w:val="0"/>
      <w:divBdr>
        <w:top w:val="none" w:sz="0" w:space="0" w:color="auto"/>
        <w:left w:val="none" w:sz="0" w:space="0" w:color="auto"/>
        <w:bottom w:val="none" w:sz="0" w:space="0" w:color="auto"/>
        <w:right w:val="none" w:sz="0" w:space="0" w:color="auto"/>
      </w:divBdr>
    </w:div>
    <w:div w:id="1674796194">
      <w:bodyDiv w:val="1"/>
      <w:marLeft w:val="0"/>
      <w:marRight w:val="0"/>
      <w:marTop w:val="0"/>
      <w:marBottom w:val="0"/>
      <w:divBdr>
        <w:top w:val="none" w:sz="0" w:space="0" w:color="auto"/>
        <w:left w:val="none" w:sz="0" w:space="0" w:color="auto"/>
        <w:bottom w:val="none" w:sz="0" w:space="0" w:color="auto"/>
        <w:right w:val="none" w:sz="0" w:space="0" w:color="auto"/>
      </w:divBdr>
    </w:div>
    <w:div w:id="180558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eesnet.liverpoolworldcentre.org/" TargetMode="External"/><Relationship Id="rId18" Type="http://schemas.openxmlformats.org/officeDocument/2006/relationships/hyperlink" Target="https://www.ucl.ac.uk/ioe/departments-centres/centres/development-education-research-centr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ustainabledevelopment.un.org/?menu=1300" TargetMode="External"/><Relationship Id="rId17" Type="http://schemas.openxmlformats.org/officeDocument/2006/relationships/hyperlink" Target="http://swedesd.uu.se/digitalAssets/606/c_606368-l_1-k_btgvisby2016report.pdf" TargetMode="External"/><Relationship Id="rId2" Type="http://schemas.openxmlformats.org/officeDocument/2006/relationships/numbering" Target="numbering.xml"/><Relationship Id="rId16" Type="http://schemas.openxmlformats.org/officeDocument/2006/relationships/hyperlink" Target="http://www.gtcs.org.uk/professional-standards/the-standards/learning-for-sustainability.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teesnet.liverpoolworldcentre.org/conferences/" TargetMode="Externa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learningforsustainabilityscot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94099-1F23-4157-B328-9E6D76BA7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1902</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Betsy</dc:creator>
  <cp:lastModifiedBy>Morag Watson</cp:lastModifiedBy>
  <cp:revision>2</cp:revision>
  <dcterms:created xsi:type="dcterms:W3CDTF">2018-09-27T10:30:00Z</dcterms:created>
  <dcterms:modified xsi:type="dcterms:W3CDTF">2018-09-27T10:30:00Z</dcterms:modified>
</cp:coreProperties>
</file>